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32419">
      <w:pPr>
        <w:pStyle w:val="11"/>
        <w:jc w:val="center"/>
        <w:outlineLvl w:val="1"/>
        <w:rPr>
          <w:rFonts w:hint="eastAsia" w:eastAsia="宋体"/>
          <w:color w:val="auto"/>
          <w:highlight w:val="none"/>
          <w:lang w:val="en-US" w:eastAsia="zh-CN"/>
        </w:rPr>
      </w:pPr>
      <w:r>
        <w:rPr>
          <w:b/>
          <w:color w:val="auto"/>
          <w:sz w:val="36"/>
          <w:highlight w:val="none"/>
        </w:rPr>
        <w:t>第二章 采购需求</w:t>
      </w:r>
    </w:p>
    <w:p w14:paraId="675C54E3">
      <w:pPr>
        <w:pStyle w:val="11"/>
        <w:numPr>
          <w:ilvl w:val="0"/>
          <w:numId w:val="1"/>
        </w:numPr>
        <w:ind w:left="-420" w:leftChars="0" w:firstLine="420" w:firstLineChars="0"/>
        <w:outlineLvl w:val="2"/>
        <w:rPr>
          <w:color w:val="auto"/>
          <w:sz w:val="24"/>
          <w:szCs w:val="24"/>
          <w:highlight w:val="none"/>
        </w:rPr>
      </w:pPr>
      <w:r>
        <w:rPr>
          <w:b/>
          <w:color w:val="auto"/>
          <w:sz w:val="24"/>
          <w:szCs w:val="24"/>
          <w:highlight w:val="none"/>
        </w:rPr>
        <w:t>项目概况：</w:t>
      </w:r>
    </w:p>
    <w:p w14:paraId="4515B771">
      <w:pPr>
        <w:pStyle w:val="7"/>
        <w:widowControl/>
        <w:shd w:val="clear" w:color="auto" w:fill="FFFFFF"/>
        <w:spacing w:beforeAutospacing="0" w:afterAutospacing="0" w:line="360" w:lineRule="auto"/>
        <w:ind w:firstLine="420" w:firstLineChars="200"/>
        <w:jc w:val="both"/>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1．项目名称：</w:t>
      </w:r>
      <w:r>
        <w:rPr>
          <w:rFonts w:hint="eastAsia" w:ascii="宋体" w:hAnsi="宋体" w:eastAsia="宋体" w:cs="宋体"/>
          <w:color w:val="auto"/>
          <w:sz w:val="21"/>
          <w:szCs w:val="21"/>
          <w:highlight w:val="none"/>
          <w:shd w:val="clear" w:color="auto" w:fill="FFFFFF"/>
          <w:lang w:eastAsia="zh-CN"/>
        </w:rPr>
        <w:t>2024年视频监控项目。</w:t>
      </w:r>
    </w:p>
    <w:p w14:paraId="6730EF9C">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b/>
          <w:bCs/>
          <w:color w:val="auto"/>
          <w:sz w:val="21"/>
          <w:szCs w:val="21"/>
          <w:highlight w:val="none"/>
          <w:shd w:val="clear" w:color="auto" w:fill="FFFFFF"/>
        </w:rPr>
        <w:t>项目范围：</w:t>
      </w:r>
      <w:r>
        <w:rPr>
          <w:rFonts w:hint="eastAsia" w:ascii="宋体" w:hAnsi="宋体" w:eastAsia="宋体" w:cs="宋体"/>
          <w:color w:val="auto"/>
          <w:kern w:val="0"/>
          <w:sz w:val="21"/>
          <w:szCs w:val="21"/>
          <w:highlight w:val="none"/>
          <w:lang w:val="en-US" w:eastAsia="zh-CN"/>
        </w:rPr>
        <w:t>本项目分4个采购包进行采购</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rPr>
        <w:t>项目内容含升级、运维</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光纤数据租赁及存储等。</w:t>
      </w:r>
    </w:p>
    <w:p w14:paraId="573AB393">
      <w:pPr>
        <w:widowControl/>
        <w:spacing w:line="360" w:lineRule="auto"/>
        <w:ind w:firstLine="422"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采购包1</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color w:val="auto"/>
          <w:kern w:val="0"/>
          <w:sz w:val="21"/>
          <w:szCs w:val="21"/>
          <w:highlight w:val="none"/>
          <w:lang w:val="en-US" w:eastAsia="zh-CN"/>
        </w:rPr>
        <w:t>2024年视频监控项目——</w:t>
      </w:r>
      <w:r>
        <w:rPr>
          <w:rFonts w:hint="eastAsia" w:ascii="宋体" w:hAnsi="宋体" w:cs="宋体"/>
          <w:color w:val="auto"/>
          <w:kern w:val="0"/>
          <w:sz w:val="21"/>
          <w:szCs w:val="21"/>
          <w:highlight w:val="none"/>
          <w:lang w:val="en-US" w:eastAsia="zh-CN"/>
        </w:rPr>
        <w:t>一期设备升级及运维和光纤线路租赁及数据存储项目</w:t>
      </w:r>
      <w:r>
        <w:rPr>
          <w:rFonts w:hint="eastAsia" w:ascii="宋体" w:hAnsi="宋体" w:eastAsia="宋体" w:cs="宋体"/>
          <w:color w:val="auto"/>
          <w:kern w:val="0"/>
          <w:sz w:val="21"/>
          <w:szCs w:val="21"/>
          <w:highlight w:val="none"/>
          <w:lang w:val="en-US" w:eastAsia="zh-CN"/>
        </w:rPr>
        <w:t>；</w:t>
      </w:r>
    </w:p>
    <w:p w14:paraId="71B6CE83">
      <w:pPr>
        <w:widowControl/>
        <w:spacing w:line="360" w:lineRule="auto"/>
        <w:ind w:firstLine="422"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采购包</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：2024年视频监控项目——</w:t>
      </w:r>
      <w:r>
        <w:rPr>
          <w:rFonts w:hint="eastAsia" w:ascii="宋体" w:hAnsi="宋体" w:cs="宋体"/>
          <w:color w:val="auto"/>
          <w:kern w:val="0"/>
          <w:sz w:val="21"/>
          <w:szCs w:val="21"/>
          <w:highlight w:val="none"/>
          <w:lang w:val="en-US" w:eastAsia="zh-CN"/>
        </w:rPr>
        <w:t>二期设备升级及运维和光纤线路租赁及数据存储项目</w:t>
      </w:r>
      <w:r>
        <w:rPr>
          <w:rFonts w:hint="eastAsia" w:ascii="宋体" w:hAnsi="宋体" w:eastAsia="宋体" w:cs="宋体"/>
          <w:color w:val="auto"/>
          <w:kern w:val="0"/>
          <w:sz w:val="21"/>
          <w:szCs w:val="21"/>
          <w:highlight w:val="none"/>
          <w:lang w:val="en-US" w:eastAsia="zh-CN"/>
        </w:rPr>
        <w:t>；</w:t>
      </w:r>
    </w:p>
    <w:p w14:paraId="2D3A84E1">
      <w:pPr>
        <w:widowControl/>
        <w:spacing w:line="360" w:lineRule="auto"/>
        <w:ind w:firstLine="422"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采购包</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：2024年视频监控项目——</w:t>
      </w:r>
      <w:r>
        <w:rPr>
          <w:rFonts w:hint="eastAsia" w:ascii="宋体" w:hAnsi="宋体" w:cs="宋体"/>
          <w:color w:val="auto"/>
          <w:kern w:val="0"/>
          <w:sz w:val="21"/>
          <w:szCs w:val="21"/>
          <w:highlight w:val="none"/>
          <w:lang w:val="en-US" w:eastAsia="zh-CN"/>
        </w:rPr>
        <w:t>三期设备升级及运维和光纤线路租赁及数据存储项目</w:t>
      </w:r>
      <w:r>
        <w:rPr>
          <w:rFonts w:hint="eastAsia" w:ascii="宋体" w:hAnsi="宋体" w:eastAsia="宋体" w:cs="宋体"/>
          <w:color w:val="auto"/>
          <w:kern w:val="0"/>
          <w:sz w:val="21"/>
          <w:szCs w:val="21"/>
          <w:highlight w:val="none"/>
          <w:lang w:val="en-US" w:eastAsia="zh-CN"/>
        </w:rPr>
        <w:t>；</w:t>
      </w:r>
    </w:p>
    <w:p w14:paraId="4EB2799C">
      <w:pPr>
        <w:widowControl/>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采购包</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：2024年视频监控项目——</w:t>
      </w:r>
      <w:r>
        <w:rPr>
          <w:rFonts w:hint="eastAsia" w:ascii="宋体" w:hAnsi="宋体" w:cs="宋体"/>
          <w:color w:val="auto"/>
          <w:kern w:val="0"/>
          <w:sz w:val="21"/>
          <w:szCs w:val="21"/>
          <w:highlight w:val="none"/>
          <w:lang w:val="en-US" w:eastAsia="zh-CN"/>
        </w:rPr>
        <w:t>平安乡村设备升级及运维和光纤线路租赁及数据存储项目</w:t>
      </w:r>
      <w:r>
        <w:rPr>
          <w:rFonts w:hint="eastAsia" w:ascii="宋体" w:hAnsi="宋体" w:eastAsia="宋体" w:cs="宋体"/>
          <w:color w:val="auto"/>
          <w:kern w:val="0"/>
          <w:sz w:val="21"/>
          <w:szCs w:val="21"/>
          <w:highlight w:val="none"/>
          <w:lang w:val="en-US" w:eastAsia="zh-CN"/>
        </w:rPr>
        <w:t>。</w:t>
      </w:r>
    </w:p>
    <w:p w14:paraId="139D76D7">
      <w:pPr>
        <w:numPr>
          <w:ilvl w:val="0"/>
          <w:numId w:val="2"/>
        </w:numPr>
        <w:tabs>
          <w:tab w:val="clear" w:pos="312"/>
        </w:tabs>
        <w:snapToGrid w:val="0"/>
        <w:spacing w:line="360" w:lineRule="auto"/>
        <w:ind w:firstLine="422" w:firstLineChars="200"/>
        <w:rPr>
          <w:rFonts w:ascii="宋体" w:hAnsi="宋体" w:eastAsia="宋体" w:cs="宋体"/>
          <w:b/>
          <w:bCs/>
          <w:color w:val="auto"/>
          <w:kern w:val="0"/>
          <w:sz w:val="21"/>
          <w:szCs w:val="21"/>
          <w:highlight w:val="none"/>
          <w:u w:val="single"/>
        </w:rPr>
      </w:pPr>
      <w:r>
        <w:rPr>
          <w:b/>
          <w:bCs/>
          <w:color w:val="auto"/>
          <w:highlight w:val="none"/>
          <w:u w:val="single"/>
        </w:rPr>
        <w:t>★</w:t>
      </w:r>
      <w:r>
        <w:rPr>
          <w:rFonts w:hint="eastAsia" w:ascii="宋体" w:hAnsi="宋体" w:cs="宋体"/>
          <w:b/>
          <w:bCs/>
          <w:color w:val="auto"/>
          <w:kern w:val="0"/>
          <w:sz w:val="21"/>
          <w:szCs w:val="21"/>
          <w:highlight w:val="none"/>
          <w:u w:val="single"/>
          <w:lang w:val="en-US" w:eastAsia="zh-CN"/>
        </w:rPr>
        <w:t>投标上限价要求：投标人在进行投标报价时，每个采购包报价均须分开两部分报价：</w:t>
      </w:r>
      <w:r>
        <w:rPr>
          <w:rFonts w:hint="default" w:ascii="Calibri" w:hAnsi="Calibri" w:cs="Calibri"/>
          <w:b/>
          <w:bCs/>
          <w:color w:val="auto"/>
          <w:kern w:val="0"/>
          <w:sz w:val="21"/>
          <w:szCs w:val="21"/>
          <w:highlight w:val="none"/>
          <w:u w:val="single"/>
          <w:lang w:val="en-US" w:eastAsia="zh-CN"/>
        </w:rPr>
        <w:t>①</w:t>
      </w:r>
      <w:r>
        <w:rPr>
          <w:rFonts w:hint="eastAsia" w:ascii="宋体" w:hAnsi="宋体" w:cs="宋体"/>
          <w:b/>
          <w:bCs/>
          <w:color w:val="auto"/>
          <w:kern w:val="0"/>
          <w:sz w:val="21"/>
          <w:szCs w:val="21"/>
          <w:highlight w:val="none"/>
          <w:u w:val="single"/>
          <w:lang w:val="en-US" w:eastAsia="zh-CN"/>
        </w:rPr>
        <w:t>设备升级及运维，</w:t>
      </w:r>
      <w:r>
        <w:rPr>
          <w:rFonts w:hint="default" w:ascii="Calibri" w:hAnsi="Calibri" w:cs="Calibri"/>
          <w:b/>
          <w:bCs/>
          <w:color w:val="auto"/>
          <w:kern w:val="0"/>
          <w:sz w:val="21"/>
          <w:szCs w:val="21"/>
          <w:highlight w:val="none"/>
          <w:u w:val="single"/>
          <w:lang w:val="en-US" w:eastAsia="zh-CN"/>
        </w:rPr>
        <w:t>②</w:t>
      </w:r>
      <w:r>
        <w:rPr>
          <w:rFonts w:hint="eastAsia" w:ascii="宋体" w:hAnsi="宋体" w:eastAsia="宋体" w:cs="宋体"/>
          <w:b/>
          <w:bCs/>
          <w:color w:val="auto"/>
          <w:kern w:val="0"/>
          <w:sz w:val="21"/>
          <w:szCs w:val="21"/>
          <w:highlight w:val="none"/>
          <w:u w:val="single"/>
        </w:rPr>
        <w:t>光纤线路租赁及数据存储</w:t>
      </w:r>
      <w:r>
        <w:rPr>
          <w:rFonts w:hint="eastAsia" w:ascii="宋体" w:hAnsi="宋体" w:cs="宋体"/>
          <w:b/>
          <w:bCs/>
          <w:color w:val="auto"/>
          <w:kern w:val="0"/>
          <w:sz w:val="21"/>
          <w:szCs w:val="21"/>
          <w:highlight w:val="none"/>
          <w:u w:val="single"/>
          <w:lang w:eastAsia="zh-CN"/>
        </w:rPr>
        <w:t>。</w:t>
      </w:r>
      <w:r>
        <w:rPr>
          <w:rFonts w:hint="eastAsia" w:ascii="宋体" w:hAnsi="宋体" w:cs="宋体"/>
          <w:b/>
          <w:bCs/>
          <w:color w:val="auto"/>
          <w:kern w:val="0"/>
          <w:sz w:val="21"/>
          <w:szCs w:val="21"/>
          <w:highlight w:val="none"/>
          <w:u w:val="single"/>
          <w:lang w:val="en-US" w:eastAsia="zh-CN"/>
        </w:rPr>
        <w:t>投标报价时，均不能超过各采购包的各项最高限价，否则将导致废标。</w:t>
      </w:r>
    </w:p>
    <w:p w14:paraId="70EF231F">
      <w:pPr>
        <w:numPr>
          <w:ilvl w:val="0"/>
          <w:numId w:val="3"/>
        </w:numPr>
        <w:snapToGrid w:val="0"/>
        <w:spacing w:line="360" w:lineRule="auto"/>
        <w:ind w:left="845"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本项目采购包1最高限价为：一期设备升级及运维金额：1490400.00元</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光纤线路租赁及数据存储金额：1048800.00元；</w:t>
      </w:r>
    </w:p>
    <w:p w14:paraId="043F7635">
      <w:pPr>
        <w:numPr>
          <w:ilvl w:val="0"/>
          <w:numId w:val="3"/>
        </w:numPr>
        <w:snapToGrid w:val="0"/>
        <w:spacing w:line="360" w:lineRule="auto"/>
        <w:ind w:left="845"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本项目采购包2最高限价为：二期设备升级及运维金额：1984686.72元</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光纤线路租赁及数据存储金额：1552899.36元；</w:t>
      </w:r>
    </w:p>
    <w:p w14:paraId="10C5B02B">
      <w:pPr>
        <w:numPr>
          <w:ilvl w:val="0"/>
          <w:numId w:val="3"/>
        </w:numPr>
        <w:snapToGrid w:val="0"/>
        <w:spacing w:line="360" w:lineRule="auto"/>
        <w:ind w:left="845"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本项目采购包3最高限价为：三期设备升级及运维金额：2606400.00元</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光纤线路租赁及数据存储金额：1635840.00元；</w:t>
      </w:r>
    </w:p>
    <w:p w14:paraId="72C73D48">
      <w:pPr>
        <w:numPr>
          <w:ilvl w:val="0"/>
          <w:numId w:val="3"/>
        </w:numPr>
        <w:snapToGrid w:val="0"/>
        <w:spacing w:line="360" w:lineRule="auto"/>
        <w:ind w:left="845"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本项目采购包4最高限价为：平安乡村设备升级及运维预算金额：1336800.00元</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光纤线路租赁及数据存储金额：2160000.00元。</w:t>
      </w:r>
    </w:p>
    <w:p w14:paraId="45E0D244">
      <w:pPr>
        <w:numPr>
          <w:ilvl w:val="0"/>
          <w:numId w:val="2"/>
        </w:numPr>
        <w:tabs>
          <w:tab w:val="clear" w:pos="312"/>
        </w:tabs>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服务期：</w:t>
      </w:r>
      <w:r>
        <w:rPr>
          <w:rFonts w:hint="eastAsia" w:ascii="宋体" w:hAnsi="宋体" w:cs="宋体"/>
          <w:color w:val="auto"/>
          <w:kern w:val="0"/>
          <w:sz w:val="21"/>
          <w:szCs w:val="21"/>
          <w:highlight w:val="none"/>
          <w:lang w:val="en-US" w:eastAsia="zh-CN"/>
        </w:rPr>
        <w:t>自本项目合同签订之日起，中标人须确保本项目的正常运行。本项目</w:t>
      </w:r>
      <w:r>
        <w:rPr>
          <w:rFonts w:hint="eastAsia"/>
          <w:color w:val="auto"/>
          <w:highlight w:val="none"/>
          <w:lang w:val="en-US" w:eastAsia="zh-CN"/>
        </w:rPr>
        <w:t>升级改造工作须在合同签订之日起60个自然日内完成，完成后进入试运行期1个月，试运行结束后组织验收，自综合验收通过之日起进入24个月运维期</w:t>
      </w:r>
      <w:r>
        <w:rPr>
          <w:rFonts w:hint="eastAsia" w:ascii="宋体" w:hAnsi="宋体" w:eastAsia="宋体" w:cs="宋体"/>
          <w:color w:val="auto"/>
          <w:kern w:val="0"/>
          <w:sz w:val="21"/>
          <w:szCs w:val="21"/>
          <w:highlight w:val="none"/>
        </w:rPr>
        <w:t>。</w:t>
      </w:r>
    </w:p>
    <w:p w14:paraId="3C09516B">
      <w:pPr>
        <w:numPr>
          <w:ilvl w:val="0"/>
          <w:numId w:val="2"/>
        </w:numPr>
        <w:tabs>
          <w:tab w:val="clear" w:pos="312"/>
        </w:tabs>
        <w:snapToGrid w:val="0"/>
        <w:spacing w:line="360" w:lineRule="auto"/>
        <w:ind w:firstLine="420" w:firstLineChars="200"/>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本项目由</w:t>
      </w:r>
      <w:r>
        <w:rPr>
          <w:rFonts w:hint="eastAsia" w:ascii="宋体" w:hAnsi="宋体" w:cs="宋体"/>
          <w:b w:val="0"/>
          <w:bCs w:val="0"/>
          <w:color w:val="auto"/>
          <w:kern w:val="2"/>
          <w:sz w:val="21"/>
          <w:szCs w:val="21"/>
          <w:highlight w:val="none"/>
          <w:shd w:val="clear" w:color="auto" w:fill="FFFFFF"/>
          <w:lang w:val="en-US" w:eastAsia="zh-CN" w:bidi="ar-SA"/>
        </w:rPr>
        <w:t>中标人</w:t>
      </w:r>
      <w:r>
        <w:rPr>
          <w:rFonts w:hint="eastAsia" w:ascii="宋体" w:hAnsi="宋体" w:eastAsia="宋体" w:cs="宋体"/>
          <w:b w:val="0"/>
          <w:bCs w:val="0"/>
          <w:color w:val="auto"/>
          <w:kern w:val="2"/>
          <w:sz w:val="21"/>
          <w:szCs w:val="21"/>
          <w:highlight w:val="none"/>
          <w:shd w:val="clear" w:color="auto" w:fill="FFFFFF"/>
          <w:lang w:val="en-US" w:eastAsia="zh-CN" w:bidi="ar-SA"/>
        </w:rPr>
        <w:t>承包及负责招标文件对</w:t>
      </w:r>
      <w:r>
        <w:rPr>
          <w:rFonts w:hint="eastAsia" w:ascii="宋体" w:hAnsi="宋体" w:cs="宋体"/>
          <w:b w:val="0"/>
          <w:bCs w:val="0"/>
          <w:color w:val="auto"/>
          <w:kern w:val="2"/>
          <w:sz w:val="21"/>
          <w:szCs w:val="21"/>
          <w:highlight w:val="none"/>
          <w:shd w:val="clear" w:color="auto" w:fill="FFFFFF"/>
          <w:lang w:val="en-US" w:eastAsia="zh-CN" w:bidi="ar-SA"/>
        </w:rPr>
        <w:t>中标人</w:t>
      </w:r>
      <w:r>
        <w:rPr>
          <w:rFonts w:hint="eastAsia" w:ascii="宋体" w:hAnsi="宋体" w:eastAsia="宋体" w:cs="宋体"/>
          <w:b w:val="0"/>
          <w:bCs w:val="0"/>
          <w:color w:val="auto"/>
          <w:kern w:val="2"/>
          <w:sz w:val="21"/>
          <w:szCs w:val="21"/>
          <w:highlight w:val="none"/>
          <w:shd w:val="clear" w:color="auto" w:fill="FFFFFF"/>
          <w:lang w:val="en-US" w:eastAsia="zh-CN" w:bidi="ar-SA"/>
        </w:rPr>
        <w:t>要求的一切事宜及责任。</w:t>
      </w:r>
    </w:p>
    <w:p w14:paraId="4C3FCBEE">
      <w:pPr>
        <w:numPr>
          <w:ilvl w:val="0"/>
          <w:numId w:val="2"/>
        </w:numPr>
        <w:tabs>
          <w:tab w:val="clear" w:pos="312"/>
        </w:tabs>
        <w:snapToGrid w:val="0"/>
        <w:spacing w:line="360" w:lineRule="auto"/>
        <w:ind w:firstLine="420" w:firstLineChars="200"/>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cs="宋体"/>
          <w:b w:val="0"/>
          <w:bCs w:val="0"/>
          <w:color w:val="auto"/>
          <w:kern w:val="2"/>
          <w:sz w:val="21"/>
          <w:szCs w:val="21"/>
          <w:highlight w:val="none"/>
          <w:shd w:val="clear" w:color="auto" w:fill="FFFFFF"/>
          <w:lang w:val="en-US" w:eastAsia="zh-CN" w:bidi="ar-SA"/>
        </w:rPr>
        <w:t>中标人</w:t>
      </w:r>
      <w:r>
        <w:rPr>
          <w:rFonts w:hint="eastAsia" w:ascii="宋体" w:hAnsi="宋体" w:eastAsia="宋体" w:cs="宋体"/>
          <w:b w:val="0"/>
          <w:bCs w:val="0"/>
          <w:color w:val="auto"/>
          <w:kern w:val="2"/>
          <w:sz w:val="21"/>
          <w:szCs w:val="21"/>
          <w:highlight w:val="none"/>
          <w:shd w:val="clear" w:color="auto" w:fill="FFFFFF"/>
          <w:lang w:val="en-US" w:eastAsia="zh-CN" w:bidi="ar-SA"/>
        </w:rPr>
        <w:t>不得以任何方式转包本项目。</w:t>
      </w:r>
    </w:p>
    <w:p w14:paraId="29FD3C3F">
      <w:pPr>
        <w:numPr>
          <w:ilvl w:val="0"/>
          <w:numId w:val="2"/>
        </w:numPr>
        <w:tabs>
          <w:tab w:val="clear" w:pos="312"/>
        </w:tabs>
        <w:snapToGrid w:val="0"/>
        <w:spacing w:line="360" w:lineRule="auto"/>
        <w:ind w:firstLine="420" w:firstLineChars="200"/>
        <w:rPr>
          <w:rFonts w:hint="eastAsia" w:ascii="宋体" w:hAnsi="宋体" w:eastAsia="宋体" w:cs="宋体"/>
          <w:b w:val="0"/>
          <w:bCs w:val="0"/>
          <w:color w:val="auto"/>
          <w:kern w:val="2"/>
          <w:sz w:val="24"/>
          <w:szCs w:val="24"/>
          <w:highlight w:val="none"/>
          <w:shd w:val="clear" w:color="auto" w:fill="FFFFFF"/>
          <w:lang w:val="en-US" w:eastAsia="zh-CN" w:bidi="ar-SA"/>
        </w:rPr>
      </w:pPr>
      <w:r>
        <w:rPr>
          <w:color w:val="auto"/>
          <w:sz w:val="21"/>
          <w:highlight w:val="none"/>
        </w:rPr>
        <w:t>本项目投标报价为总</w:t>
      </w:r>
      <w:r>
        <w:rPr>
          <w:rFonts w:hint="eastAsia"/>
          <w:color w:val="auto"/>
          <w:sz w:val="21"/>
          <w:highlight w:val="none"/>
          <w:lang w:eastAsia="zh-CN"/>
        </w:rPr>
        <w:t>价</w:t>
      </w:r>
      <w:r>
        <w:rPr>
          <w:color w:val="auto"/>
          <w:sz w:val="21"/>
          <w:highlight w:val="none"/>
        </w:rPr>
        <w:t>包干，包含但不限于本项目的管理、维修保养、人工、税费、运输、保管、安装、调试</w:t>
      </w:r>
      <w:r>
        <w:rPr>
          <w:rFonts w:hint="eastAsia"/>
          <w:color w:val="auto"/>
          <w:sz w:val="21"/>
          <w:highlight w:val="none"/>
          <w:lang w:eastAsia="zh-CN"/>
        </w:rPr>
        <w:t>、</w:t>
      </w:r>
      <w:r>
        <w:rPr>
          <w:color w:val="auto"/>
          <w:sz w:val="21"/>
          <w:highlight w:val="none"/>
        </w:rPr>
        <w:t>验收、设备</w:t>
      </w:r>
      <w:r>
        <w:rPr>
          <w:rFonts w:hint="eastAsia"/>
          <w:color w:val="auto"/>
          <w:sz w:val="21"/>
          <w:highlight w:val="none"/>
          <w:lang w:eastAsia="zh-CN"/>
        </w:rPr>
        <w:t>维护</w:t>
      </w:r>
      <w:r>
        <w:rPr>
          <w:color w:val="auto"/>
          <w:sz w:val="21"/>
          <w:highlight w:val="none"/>
        </w:rPr>
        <w:t>或更换</w:t>
      </w:r>
      <w:r>
        <w:rPr>
          <w:rFonts w:hint="eastAsia"/>
          <w:color w:val="auto"/>
          <w:sz w:val="21"/>
          <w:highlight w:val="none"/>
          <w:lang w:eastAsia="zh-CN"/>
        </w:rPr>
        <w:t>、光纤线路租赁及数据存储</w:t>
      </w:r>
      <w:r>
        <w:rPr>
          <w:color w:val="auto"/>
          <w:sz w:val="21"/>
          <w:highlight w:val="none"/>
        </w:rPr>
        <w:t>等伴随完成本项目所需的一切费用。</w:t>
      </w:r>
    </w:p>
    <w:p w14:paraId="14B3FAA3">
      <w:pPr>
        <w:numPr>
          <w:ilvl w:val="0"/>
          <w:numId w:val="2"/>
        </w:numPr>
        <w:tabs>
          <w:tab w:val="clear" w:pos="312"/>
        </w:tabs>
        <w:snapToGrid w:val="0"/>
        <w:spacing w:line="360" w:lineRule="auto"/>
        <w:ind w:firstLine="420" w:firstLineChars="200"/>
        <w:rPr>
          <w:color w:val="auto"/>
          <w:highlight w:val="none"/>
        </w:rPr>
      </w:pPr>
      <w:r>
        <w:rPr>
          <w:rFonts w:hint="eastAsia" w:ascii="宋体" w:hAnsi="宋体" w:cs="宋体"/>
          <w:b w:val="0"/>
          <w:bCs w:val="0"/>
          <w:color w:val="auto"/>
          <w:kern w:val="2"/>
          <w:sz w:val="21"/>
          <w:szCs w:val="21"/>
          <w:highlight w:val="none"/>
          <w:shd w:val="clear" w:color="auto" w:fill="FFFFFF"/>
          <w:lang w:val="en-US" w:eastAsia="zh-CN" w:bidi="ar-SA"/>
        </w:rPr>
        <w:t>中标人</w:t>
      </w:r>
      <w:r>
        <w:rPr>
          <w:color w:val="auto"/>
          <w:sz w:val="21"/>
          <w:highlight w:val="none"/>
        </w:rPr>
        <w:t>应严格按照有关</w:t>
      </w:r>
      <w:r>
        <w:rPr>
          <w:rFonts w:hint="eastAsia"/>
          <w:color w:val="auto"/>
          <w:sz w:val="21"/>
          <w:highlight w:val="none"/>
          <w:lang w:val="en-US" w:eastAsia="zh-CN"/>
        </w:rPr>
        <w:t>行业</w:t>
      </w:r>
      <w:r>
        <w:rPr>
          <w:color w:val="auto"/>
          <w:sz w:val="21"/>
          <w:highlight w:val="none"/>
        </w:rPr>
        <w:t>规范开展</w:t>
      </w:r>
      <w:r>
        <w:rPr>
          <w:rFonts w:hint="eastAsia"/>
          <w:color w:val="auto"/>
          <w:sz w:val="21"/>
          <w:highlight w:val="none"/>
          <w:lang w:val="en-US" w:eastAsia="zh-CN"/>
        </w:rPr>
        <w:t>本项目工作</w:t>
      </w:r>
      <w:r>
        <w:rPr>
          <w:color w:val="auto"/>
          <w:sz w:val="21"/>
          <w:highlight w:val="none"/>
        </w:rPr>
        <w:t>，采取科学的安全措施，确保工作安全和第三者的安全，</w:t>
      </w:r>
      <w:r>
        <w:rPr>
          <w:rFonts w:hint="eastAsia"/>
          <w:color w:val="auto"/>
          <w:sz w:val="21"/>
          <w:highlight w:val="none"/>
          <w:lang w:val="en-US" w:eastAsia="zh-CN"/>
        </w:rPr>
        <w:t>并</w:t>
      </w:r>
      <w:r>
        <w:rPr>
          <w:color w:val="auto"/>
          <w:sz w:val="21"/>
          <w:highlight w:val="none"/>
        </w:rPr>
        <w:t>承担</w:t>
      </w:r>
      <w:r>
        <w:rPr>
          <w:rFonts w:hint="eastAsia"/>
          <w:color w:val="auto"/>
          <w:sz w:val="21"/>
          <w:highlight w:val="none"/>
          <w:lang w:eastAsia="zh-CN"/>
        </w:rPr>
        <w:t>全部</w:t>
      </w:r>
      <w:r>
        <w:rPr>
          <w:color w:val="auto"/>
          <w:sz w:val="21"/>
          <w:highlight w:val="none"/>
        </w:rPr>
        <w:t>安全责任。</w:t>
      </w:r>
    </w:p>
    <w:p w14:paraId="4646846A">
      <w:pPr>
        <w:numPr>
          <w:ilvl w:val="0"/>
          <w:numId w:val="2"/>
        </w:numPr>
        <w:tabs>
          <w:tab w:val="clear" w:pos="312"/>
        </w:tabs>
        <w:snapToGrid w:val="0"/>
        <w:spacing w:line="360" w:lineRule="auto"/>
        <w:ind w:firstLine="422" w:firstLineChars="200"/>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lang w:eastAsia="zh-CN"/>
        </w:rPr>
        <w:t>本项目</w:t>
      </w:r>
      <w:r>
        <w:rPr>
          <w:rFonts w:hint="eastAsia" w:ascii="宋体" w:hAnsi="宋体" w:eastAsia="宋体" w:cs="宋体"/>
          <w:b/>
          <w:bCs/>
          <w:color w:val="auto"/>
          <w:sz w:val="21"/>
          <w:highlight w:val="none"/>
          <w:u w:val="none"/>
        </w:rPr>
        <w:t>兼投</w:t>
      </w:r>
      <w:r>
        <w:rPr>
          <w:rFonts w:hint="eastAsia" w:ascii="宋体" w:hAnsi="宋体" w:eastAsia="宋体" w:cs="宋体"/>
          <w:b/>
          <w:bCs/>
          <w:color w:val="auto"/>
          <w:sz w:val="21"/>
          <w:highlight w:val="none"/>
          <w:u w:val="none"/>
          <w:lang w:eastAsia="zh-CN"/>
        </w:rPr>
        <w:t>不</w:t>
      </w:r>
      <w:r>
        <w:rPr>
          <w:rFonts w:hint="eastAsia" w:ascii="宋体" w:hAnsi="宋体" w:eastAsia="宋体" w:cs="宋体"/>
          <w:b/>
          <w:bCs/>
          <w:color w:val="auto"/>
          <w:sz w:val="21"/>
          <w:highlight w:val="none"/>
          <w:u w:val="none"/>
        </w:rPr>
        <w:t>兼中</w:t>
      </w:r>
      <w:r>
        <w:rPr>
          <w:rFonts w:hint="eastAsia" w:ascii="宋体" w:hAnsi="宋体" w:eastAsia="宋体" w:cs="宋体"/>
          <w:b/>
          <w:bCs/>
          <w:color w:val="auto"/>
          <w:sz w:val="21"/>
          <w:highlight w:val="none"/>
          <w:u w:val="none"/>
          <w:lang w:eastAsia="zh-CN"/>
        </w:rPr>
        <w:t>。</w:t>
      </w:r>
      <w:r>
        <w:rPr>
          <w:rFonts w:hint="eastAsia" w:ascii="宋体" w:hAnsi="宋体" w:eastAsia="宋体" w:cs="宋体"/>
          <w:b/>
          <w:bCs/>
          <w:color w:val="auto"/>
          <w:highlight w:val="none"/>
          <w:u w:val="none"/>
          <w:lang w:val="en-US" w:eastAsia="zh-CN"/>
        </w:rPr>
        <w:t>评审顺序</w:t>
      </w:r>
      <w:r>
        <w:rPr>
          <w:rFonts w:hint="eastAsia" w:ascii="宋体" w:hAnsi="宋体" w:eastAsia="宋体" w:cs="宋体"/>
          <w:b/>
          <w:bCs/>
          <w:color w:val="auto"/>
          <w:highlight w:val="none"/>
          <w:u w:val="none"/>
        </w:rPr>
        <w:t>按采购包的顺序进行，</w:t>
      </w:r>
      <w:r>
        <w:rPr>
          <w:rFonts w:hint="eastAsia" w:ascii="宋体" w:hAnsi="宋体" w:eastAsia="宋体" w:cs="宋体"/>
          <w:b/>
          <w:bCs/>
          <w:color w:val="auto"/>
          <w:highlight w:val="none"/>
          <w:u w:val="none"/>
          <w:lang w:val="en-US" w:eastAsia="zh-CN"/>
        </w:rPr>
        <w:t>每包分别</w:t>
      </w:r>
      <w:r>
        <w:rPr>
          <w:rFonts w:hint="eastAsia" w:ascii="宋体" w:hAnsi="宋体" w:eastAsia="宋体" w:cs="宋体"/>
          <w:b/>
          <w:bCs/>
          <w:color w:val="auto"/>
          <w:highlight w:val="none"/>
          <w:u w:val="none"/>
        </w:rPr>
        <w:t>按照</w:t>
      </w:r>
      <w:r>
        <w:rPr>
          <w:rFonts w:hint="eastAsia" w:ascii="宋体" w:hAnsi="宋体" w:eastAsia="宋体" w:cs="宋体"/>
          <w:b/>
          <w:bCs/>
          <w:color w:val="auto"/>
          <w:highlight w:val="none"/>
          <w:u w:val="none"/>
          <w:lang w:val="en-US" w:eastAsia="zh-CN"/>
        </w:rPr>
        <w:t>各包组</w:t>
      </w:r>
      <w:r>
        <w:rPr>
          <w:rFonts w:hint="eastAsia" w:ascii="宋体" w:hAnsi="宋体" w:eastAsia="宋体" w:cs="宋体"/>
          <w:b/>
          <w:bCs/>
          <w:color w:val="auto"/>
          <w:highlight w:val="none"/>
          <w:u w:val="none"/>
        </w:rPr>
        <w:t>评标总得分由高到低的顺序，依次推荐三名</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候选人。已获得本项目前</w:t>
      </w:r>
      <w:r>
        <w:rPr>
          <w:rFonts w:hint="eastAsia" w:ascii="宋体" w:hAnsi="宋体" w:eastAsia="宋体" w:cs="宋体"/>
          <w:b/>
          <w:bCs/>
          <w:color w:val="auto"/>
          <w:highlight w:val="none"/>
          <w:u w:val="none"/>
          <w:lang w:val="en-US" w:eastAsia="zh-CN"/>
        </w:rPr>
        <w:t>一</w:t>
      </w:r>
      <w:r>
        <w:rPr>
          <w:rFonts w:hint="eastAsia" w:ascii="宋体" w:hAnsi="宋体" w:eastAsia="宋体" w:cs="宋体"/>
          <w:b/>
          <w:bCs/>
          <w:color w:val="auto"/>
          <w:highlight w:val="none"/>
          <w:u w:val="none"/>
        </w:rPr>
        <w:t>采购包第一</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候选人资格的供应商，将不具有后续采购包的</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候选人推荐资格；后续采购包将从</w:t>
      </w:r>
      <w:r>
        <w:rPr>
          <w:rFonts w:hint="eastAsia" w:ascii="宋体" w:hAnsi="宋体" w:eastAsia="宋体" w:cs="宋体"/>
          <w:b/>
          <w:bCs/>
          <w:color w:val="auto"/>
          <w:highlight w:val="none"/>
          <w:u w:val="none"/>
          <w:lang w:val="en-US" w:eastAsia="zh-CN"/>
        </w:rPr>
        <w:t>其他</w:t>
      </w:r>
      <w:r>
        <w:rPr>
          <w:rFonts w:hint="eastAsia" w:ascii="宋体" w:hAnsi="宋体" w:eastAsia="宋体" w:cs="宋体"/>
          <w:b/>
          <w:bCs/>
          <w:color w:val="auto"/>
          <w:highlight w:val="none"/>
          <w:u w:val="none"/>
        </w:rPr>
        <w:t>具有</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候选人资格的供应商中，</w:t>
      </w:r>
      <w:r>
        <w:rPr>
          <w:rFonts w:hint="eastAsia" w:ascii="宋体" w:hAnsi="宋体" w:eastAsia="宋体" w:cs="宋体"/>
          <w:b/>
          <w:bCs/>
          <w:color w:val="auto"/>
          <w:highlight w:val="none"/>
          <w:u w:val="none"/>
          <w:lang w:val="en-US" w:eastAsia="zh-CN"/>
        </w:rPr>
        <w:t>按评审总得分排序，依次</w:t>
      </w:r>
      <w:r>
        <w:rPr>
          <w:rFonts w:hint="eastAsia" w:ascii="宋体" w:hAnsi="宋体" w:eastAsia="宋体" w:cs="宋体"/>
          <w:b/>
          <w:bCs/>
          <w:color w:val="auto"/>
          <w:highlight w:val="none"/>
          <w:u w:val="none"/>
        </w:rPr>
        <w:t>推荐排名最高的供应商为第一</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候选人，排名次高的供应商为第二</w:t>
      </w:r>
      <w:r>
        <w:rPr>
          <w:rFonts w:hint="eastAsia" w:ascii="宋体" w:hAnsi="宋体" w:eastAsia="宋体" w:cs="宋体"/>
          <w:b/>
          <w:bCs/>
          <w:color w:val="auto"/>
          <w:highlight w:val="none"/>
          <w:u w:val="none"/>
          <w:lang w:val="en-US" w:eastAsia="zh-CN"/>
        </w:rPr>
        <w:t>中标</w:t>
      </w:r>
      <w:r>
        <w:rPr>
          <w:rFonts w:hint="eastAsia" w:ascii="宋体" w:hAnsi="宋体" w:eastAsia="宋体" w:cs="宋体"/>
          <w:b/>
          <w:bCs/>
          <w:color w:val="auto"/>
          <w:highlight w:val="none"/>
          <w:u w:val="none"/>
        </w:rPr>
        <w:t>候选人，以此类推。</w:t>
      </w:r>
    </w:p>
    <w:p w14:paraId="6188302C">
      <w:pPr>
        <w:pStyle w:val="11"/>
        <w:numPr>
          <w:ilvl w:val="0"/>
          <w:numId w:val="1"/>
        </w:numPr>
        <w:spacing w:line="360" w:lineRule="auto"/>
        <w:ind w:left="-420" w:leftChars="0" w:firstLine="420" w:firstLineChars="0"/>
        <w:jc w:val="left"/>
        <w:outlineLvl w:val="2"/>
        <w:rPr>
          <w:b/>
          <w:color w:val="auto"/>
          <w:sz w:val="24"/>
          <w:szCs w:val="24"/>
          <w:highlight w:val="none"/>
        </w:rPr>
      </w:pPr>
      <w:r>
        <w:rPr>
          <w:b/>
          <w:color w:val="auto"/>
          <w:sz w:val="24"/>
          <w:szCs w:val="24"/>
          <w:highlight w:val="none"/>
        </w:rPr>
        <w:t>项目</w:t>
      </w:r>
      <w:r>
        <w:rPr>
          <w:rFonts w:hint="eastAsia"/>
          <w:b/>
          <w:color w:val="auto"/>
          <w:sz w:val="24"/>
          <w:szCs w:val="24"/>
          <w:highlight w:val="none"/>
          <w:lang w:val="en-US" w:eastAsia="zh-CN"/>
        </w:rPr>
        <w:t>总体</w:t>
      </w:r>
      <w:r>
        <w:rPr>
          <w:b/>
          <w:color w:val="auto"/>
          <w:sz w:val="24"/>
          <w:szCs w:val="24"/>
          <w:highlight w:val="none"/>
        </w:rPr>
        <w:t>要求：</w:t>
      </w:r>
    </w:p>
    <w:p w14:paraId="32BA7E46">
      <w:pPr>
        <w:pStyle w:val="11"/>
        <w:numPr>
          <w:ilvl w:val="0"/>
          <w:numId w:val="4"/>
        </w:numPr>
        <w:spacing w:line="360" w:lineRule="auto"/>
        <w:ind w:left="-400" w:leftChars="0" w:firstLine="400" w:firstLineChars="0"/>
        <w:jc w:val="both"/>
        <w:rPr>
          <w:rFonts w:hint="eastAsia" w:eastAsia="宋体"/>
          <w:color w:val="auto"/>
          <w:highlight w:val="none"/>
          <w:lang w:val="en-US" w:eastAsia="zh-CN"/>
        </w:rPr>
      </w:pPr>
      <w:r>
        <w:rPr>
          <w:color w:val="auto"/>
          <w:sz w:val="21"/>
          <w:szCs w:val="21"/>
          <w:highlight w:val="none"/>
        </w:rPr>
        <w:t>时间进度要求：综合考虑项目的实际情况、业务需要、项目管理能力和项目风险控制等各种因素</w:t>
      </w:r>
      <w:r>
        <w:rPr>
          <w:rFonts w:hint="eastAsia"/>
          <w:color w:val="auto"/>
          <w:sz w:val="21"/>
          <w:szCs w:val="21"/>
          <w:highlight w:val="none"/>
          <w:lang w:eastAsia="zh-CN"/>
        </w:rPr>
        <w:t>，</w:t>
      </w:r>
      <w:r>
        <w:rPr>
          <w:rFonts w:hint="eastAsia"/>
          <w:color w:val="auto"/>
          <w:sz w:val="21"/>
          <w:szCs w:val="21"/>
          <w:highlight w:val="none"/>
          <w:lang w:val="en-US" w:eastAsia="zh-CN"/>
        </w:rPr>
        <w:t>按采购人要求时间进行实施</w:t>
      </w:r>
      <w:r>
        <w:rPr>
          <w:color w:val="auto"/>
          <w:sz w:val="21"/>
          <w:szCs w:val="21"/>
          <w:highlight w:val="none"/>
        </w:rPr>
        <w:t>。</w:t>
      </w:r>
    </w:p>
    <w:p w14:paraId="55FC02FB">
      <w:pPr>
        <w:pStyle w:val="11"/>
        <w:numPr>
          <w:ilvl w:val="0"/>
          <w:numId w:val="4"/>
        </w:numPr>
        <w:spacing w:line="360" w:lineRule="auto"/>
        <w:ind w:left="-400" w:leftChars="0" w:firstLine="400" w:firstLineChars="0"/>
        <w:jc w:val="both"/>
        <w:rPr>
          <w:rFonts w:hint="eastAsia" w:eastAsia="宋体"/>
          <w:b/>
          <w:bCs/>
          <w:color w:val="auto"/>
          <w:highlight w:val="none"/>
          <w:lang w:val="en-US" w:eastAsia="zh-CN"/>
        </w:rPr>
      </w:pPr>
      <w:r>
        <w:rPr>
          <w:b/>
          <w:bCs/>
          <w:color w:val="auto"/>
          <w:highlight w:val="none"/>
        </w:rPr>
        <w:t>★</w:t>
      </w:r>
      <w:r>
        <w:rPr>
          <w:rFonts w:hint="eastAsia"/>
          <w:b/>
          <w:bCs/>
          <w:color w:val="auto"/>
          <w:highlight w:val="none"/>
          <w:lang w:val="en-US" w:eastAsia="zh-CN"/>
        </w:rPr>
        <w:t>供应商投标时须承诺：中标后1个月内在项目实施地设立固定的</w:t>
      </w:r>
      <w:r>
        <w:rPr>
          <w:b/>
          <w:bCs/>
          <w:color w:val="auto"/>
          <w:highlight w:val="none"/>
        </w:rPr>
        <w:t>服务</w:t>
      </w:r>
      <w:r>
        <w:rPr>
          <w:rFonts w:hint="eastAsia"/>
          <w:b/>
          <w:bCs/>
          <w:color w:val="auto"/>
          <w:highlight w:val="none"/>
          <w:lang w:val="en-US" w:eastAsia="zh-CN"/>
        </w:rPr>
        <w:t>点，且备好项目相关备品备件，以便及时解决故障。合同期内，须</w:t>
      </w:r>
      <w:r>
        <w:rPr>
          <w:b/>
          <w:bCs/>
          <w:color w:val="auto"/>
          <w:highlight w:val="none"/>
        </w:rPr>
        <w:t>安排</w:t>
      </w:r>
      <w:r>
        <w:rPr>
          <w:rFonts w:hint="eastAsia"/>
          <w:b/>
          <w:bCs/>
          <w:color w:val="auto"/>
          <w:highlight w:val="none"/>
          <w:lang w:val="en-US" w:eastAsia="zh-CN"/>
        </w:rPr>
        <w:t>固定</w:t>
      </w:r>
      <w:r>
        <w:rPr>
          <w:b/>
          <w:bCs/>
          <w:color w:val="auto"/>
          <w:highlight w:val="none"/>
        </w:rPr>
        <w:t>人</w:t>
      </w:r>
      <w:r>
        <w:rPr>
          <w:rFonts w:hint="eastAsia"/>
          <w:b/>
          <w:bCs/>
          <w:color w:val="auto"/>
          <w:highlight w:val="none"/>
          <w:lang w:val="en-US" w:eastAsia="zh-CN"/>
        </w:rPr>
        <w:t>员负责本项目</w:t>
      </w:r>
      <w:r>
        <w:rPr>
          <w:b/>
          <w:bCs/>
          <w:color w:val="auto"/>
          <w:highlight w:val="none"/>
        </w:rPr>
        <w:t>的运行维护、升级等服务</w:t>
      </w:r>
      <w:r>
        <w:rPr>
          <w:rFonts w:hint="eastAsia"/>
          <w:b/>
          <w:bCs/>
          <w:color w:val="auto"/>
          <w:highlight w:val="none"/>
          <w:lang w:val="en-US" w:eastAsia="zh-CN"/>
        </w:rPr>
        <w:t>（格式自拟）</w:t>
      </w:r>
      <w:r>
        <w:rPr>
          <w:b/>
          <w:bCs/>
          <w:color w:val="auto"/>
          <w:highlight w:val="none"/>
        </w:rPr>
        <w:t>。</w:t>
      </w:r>
    </w:p>
    <w:p w14:paraId="51D66B3C">
      <w:pPr>
        <w:pStyle w:val="11"/>
        <w:numPr>
          <w:ilvl w:val="0"/>
          <w:numId w:val="4"/>
        </w:numPr>
        <w:spacing w:line="360" w:lineRule="auto"/>
        <w:ind w:left="-400" w:leftChars="0" w:firstLine="400" w:firstLineChars="0"/>
        <w:jc w:val="both"/>
        <w:rPr>
          <w:rFonts w:hint="eastAsia" w:eastAsia="宋体"/>
          <w:b/>
          <w:bCs/>
          <w:color w:val="auto"/>
          <w:highlight w:val="none"/>
          <w:lang w:val="en-US" w:eastAsia="zh-CN"/>
        </w:rPr>
      </w:pPr>
      <w:r>
        <w:rPr>
          <w:color w:val="auto"/>
          <w:highlight w:val="none"/>
        </w:rPr>
        <w:t>★</w:t>
      </w:r>
      <w:r>
        <w:rPr>
          <w:rFonts w:hint="eastAsia"/>
          <w:b/>
          <w:bCs/>
          <w:color w:val="auto"/>
          <w:highlight w:val="none"/>
          <w:lang w:val="en-US" w:eastAsia="zh-CN"/>
        </w:rPr>
        <w:t>供应商投标时须承诺：本项目设备正常维护涉及到的所有辅材及辅助工作（如有），如：配管、配线（网线、光纤、电线等）顶管、拆除路面、开挖及回填土方等，均已考虑在本项目合同内，采购人不再增加费用。中标人自行考虑因经济增长、物价上涨和自身成本等情况后进行报价（格式自拟）。</w:t>
      </w:r>
    </w:p>
    <w:p w14:paraId="4A4A29BF">
      <w:pPr>
        <w:pStyle w:val="11"/>
        <w:numPr>
          <w:ilvl w:val="0"/>
          <w:numId w:val="4"/>
        </w:numPr>
        <w:spacing w:line="360" w:lineRule="auto"/>
        <w:ind w:left="-400" w:leftChars="0" w:firstLine="400" w:firstLineChars="0"/>
        <w:jc w:val="both"/>
        <w:rPr>
          <w:color w:val="auto"/>
          <w:sz w:val="21"/>
          <w:szCs w:val="21"/>
          <w:highlight w:val="none"/>
        </w:rPr>
      </w:pPr>
      <w:r>
        <w:rPr>
          <w:color w:val="auto"/>
          <w:sz w:val="21"/>
          <w:szCs w:val="21"/>
          <w:highlight w:val="none"/>
        </w:rPr>
        <w:t>包装、运输要求</w:t>
      </w:r>
    </w:p>
    <w:p w14:paraId="6F13159F">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中标人所供货物必须为制造商原厂包装，包装按国家标准、行业标准及约定标准中规格最高的标准执行。包装还应与运输方式相适应，充分考虑到运输途中的各种情况（如暴露于恶劣气候等）和中山地区的气候特点，并根据设备的不同特性和要求而采取防湿、防锈、防潮、防雨、防腐、防尘、防震、防静电及防碰撞的措施，以确保设备在运输、装卸、储存、交付、安装及调试等过程中的安全。货物要求有包装材料保护运至现场。</w:t>
      </w:r>
    </w:p>
    <w:p w14:paraId="6AA80A45">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对于特殊的</w:t>
      </w:r>
      <w:r>
        <w:rPr>
          <w:rFonts w:hint="eastAsia"/>
          <w:color w:val="auto"/>
          <w:sz w:val="21"/>
          <w:szCs w:val="21"/>
          <w:highlight w:val="none"/>
          <w:lang w:val="en-US" w:eastAsia="zh-CN"/>
        </w:rPr>
        <w:t>货物</w:t>
      </w:r>
      <w:r>
        <w:rPr>
          <w:color w:val="auto"/>
          <w:sz w:val="21"/>
          <w:szCs w:val="21"/>
          <w:highlight w:val="none"/>
        </w:rPr>
        <w:t>（重要、安全、可靠性），为了保持其唯一性和可追溯性，中标人应按照采购人的要求，以清晰牢固的方式标识该类设备的名称、型号、规格、制造厂商、批号、序列号、生产日期等信息，以便于采购人对该类设备实施有效的追踪控制。上述标识应与设备包装、装箱单、附带文件保持严格的一致性。</w:t>
      </w:r>
    </w:p>
    <w:p w14:paraId="27F54702">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专用工具及备品备件应分别包装，并在包装箱外加以注明其用处。</w:t>
      </w:r>
    </w:p>
    <w:p w14:paraId="16B005F0">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中标人根据采购人指定的安装地点，将货物材料送到现场过程中的全部运输，包括装卸车、货物现场的搬运。中标人应确保设备运输过程中的安全。</w:t>
      </w:r>
    </w:p>
    <w:p w14:paraId="35C8C46E">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设备外观清洁，标记编号以及盘面显示等字体清晰，明确能够准确无误地表示设备的型号、规格、制造商。各种设备，必须提供装箱清单，按装箱清单验收货物。</w:t>
      </w:r>
    </w:p>
    <w:p w14:paraId="34F78F9F">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货物在现场的保管由中标人负责，直至项目综合验收完毕。</w:t>
      </w:r>
    </w:p>
    <w:p w14:paraId="3264BAA4">
      <w:pPr>
        <w:pStyle w:val="11"/>
        <w:numPr>
          <w:ilvl w:val="0"/>
          <w:numId w:val="5"/>
        </w:numPr>
        <w:spacing w:line="360" w:lineRule="auto"/>
        <w:ind w:left="845" w:leftChars="0" w:hanging="425" w:firstLineChars="0"/>
        <w:jc w:val="both"/>
        <w:rPr>
          <w:color w:val="auto"/>
          <w:sz w:val="21"/>
          <w:szCs w:val="21"/>
          <w:highlight w:val="none"/>
        </w:rPr>
      </w:pPr>
      <w:r>
        <w:rPr>
          <w:color w:val="auto"/>
          <w:sz w:val="21"/>
          <w:szCs w:val="21"/>
          <w:highlight w:val="none"/>
        </w:rPr>
        <w:t>货物在综合验收合格前</w:t>
      </w:r>
      <w:r>
        <w:rPr>
          <w:rFonts w:hint="eastAsia"/>
          <w:color w:val="auto"/>
          <w:sz w:val="21"/>
          <w:szCs w:val="21"/>
          <w:highlight w:val="none"/>
          <w:lang w:val="en-US" w:eastAsia="zh-CN"/>
        </w:rPr>
        <w:t>所有责任均</w:t>
      </w:r>
      <w:r>
        <w:rPr>
          <w:color w:val="auto"/>
          <w:sz w:val="21"/>
          <w:szCs w:val="21"/>
          <w:highlight w:val="none"/>
        </w:rPr>
        <w:t>由中标人负责。</w:t>
      </w:r>
    </w:p>
    <w:p w14:paraId="504459A7">
      <w:pPr>
        <w:pStyle w:val="11"/>
        <w:numPr>
          <w:ilvl w:val="0"/>
          <w:numId w:val="4"/>
        </w:numPr>
        <w:spacing w:line="360" w:lineRule="auto"/>
        <w:ind w:left="-400" w:leftChars="0" w:firstLine="400" w:firstLineChars="0"/>
        <w:jc w:val="both"/>
        <w:rPr>
          <w:color w:val="auto"/>
          <w:sz w:val="21"/>
          <w:szCs w:val="21"/>
          <w:highlight w:val="none"/>
        </w:rPr>
      </w:pPr>
      <w:r>
        <w:rPr>
          <w:color w:val="auto"/>
          <w:sz w:val="21"/>
          <w:szCs w:val="21"/>
          <w:highlight w:val="none"/>
        </w:rPr>
        <w:t>到货、开箱检验和签收要求：</w:t>
      </w:r>
    </w:p>
    <w:p w14:paraId="7C0D89E9">
      <w:pPr>
        <w:pStyle w:val="11"/>
        <w:numPr>
          <w:ilvl w:val="0"/>
          <w:numId w:val="6"/>
        </w:numPr>
        <w:spacing w:line="360" w:lineRule="auto"/>
        <w:ind w:left="845" w:leftChars="0" w:hanging="425" w:firstLineChars="0"/>
        <w:jc w:val="both"/>
        <w:rPr>
          <w:color w:val="auto"/>
          <w:sz w:val="21"/>
          <w:szCs w:val="21"/>
          <w:highlight w:val="none"/>
        </w:rPr>
      </w:pPr>
      <w:r>
        <w:rPr>
          <w:color w:val="auto"/>
          <w:sz w:val="21"/>
          <w:szCs w:val="21"/>
          <w:highlight w:val="none"/>
        </w:rPr>
        <w:t>所有设备在开箱或包装时必须完好无损。配置与装箱单相符。数量、质量及性能必须符合要求。</w:t>
      </w:r>
    </w:p>
    <w:p w14:paraId="6D62ECEB">
      <w:pPr>
        <w:pStyle w:val="11"/>
        <w:numPr>
          <w:ilvl w:val="0"/>
          <w:numId w:val="6"/>
        </w:numPr>
        <w:spacing w:line="360" w:lineRule="auto"/>
        <w:ind w:left="845" w:leftChars="0" w:hanging="425" w:firstLineChars="0"/>
        <w:jc w:val="both"/>
        <w:rPr>
          <w:color w:val="auto"/>
          <w:sz w:val="21"/>
          <w:szCs w:val="21"/>
          <w:highlight w:val="none"/>
        </w:rPr>
      </w:pPr>
      <w:r>
        <w:rPr>
          <w:rFonts w:hint="eastAsia"/>
          <w:color w:val="auto"/>
          <w:sz w:val="21"/>
          <w:szCs w:val="21"/>
          <w:highlight w:val="none"/>
          <w:lang w:val="en-US" w:eastAsia="zh-CN"/>
        </w:rPr>
        <w:t>设备</w:t>
      </w:r>
      <w:r>
        <w:rPr>
          <w:color w:val="auto"/>
          <w:sz w:val="21"/>
          <w:szCs w:val="21"/>
          <w:highlight w:val="none"/>
        </w:rPr>
        <w:t>开箱须</w:t>
      </w:r>
      <w:r>
        <w:rPr>
          <w:rFonts w:hint="eastAsia"/>
          <w:color w:val="auto"/>
          <w:sz w:val="21"/>
          <w:szCs w:val="21"/>
          <w:highlight w:val="none"/>
          <w:lang w:val="en-US" w:eastAsia="zh-CN"/>
        </w:rPr>
        <w:t>通知</w:t>
      </w:r>
      <w:r>
        <w:rPr>
          <w:color w:val="auto"/>
          <w:sz w:val="21"/>
          <w:szCs w:val="21"/>
          <w:highlight w:val="none"/>
        </w:rPr>
        <w:t>采购人</w:t>
      </w:r>
      <w:r>
        <w:rPr>
          <w:rFonts w:hint="eastAsia"/>
          <w:color w:val="auto"/>
          <w:sz w:val="21"/>
          <w:szCs w:val="21"/>
          <w:highlight w:val="none"/>
          <w:lang w:val="en-US" w:eastAsia="zh-CN"/>
        </w:rPr>
        <w:t>到</w:t>
      </w:r>
      <w:r>
        <w:rPr>
          <w:color w:val="auto"/>
          <w:sz w:val="21"/>
          <w:szCs w:val="21"/>
          <w:highlight w:val="none"/>
        </w:rPr>
        <w:t>场检验</w:t>
      </w:r>
      <w:r>
        <w:rPr>
          <w:rFonts w:hint="eastAsia"/>
          <w:color w:val="auto"/>
          <w:sz w:val="21"/>
          <w:szCs w:val="21"/>
          <w:highlight w:val="none"/>
          <w:lang w:eastAsia="zh-CN"/>
        </w:rPr>
        <w:t>，</w:t>
      </w:r>
      <w:r>
        <w:rPr>
          <w:rFonts w:hint="eastAsia"/>
          <w:color w:val="auto"/>
          <w:sz w:val="21"/>
          <w:szCs w:val="21"/>
          <w:highlight w:val="none"/>
          <w:lang w:val="en-US" w:eastAsia="zh-CN"/>
        </w:rPr>
        <w:t>检验合格后按采购人要求进行设备升级</w:t>
      </w:r>
      <w:r>
        <w:rPr>
          <w:color w:val="auto"/>
          <w:sz w:val="21"/>
          <w:szCs w:val="21"/>
          <w:highlight w:val="none"/>
        </w:rPr>
        <w:t>。</w:t>
      </w:r>
    </w:p>
    <w:p w14:paraId="780B76F5">
      <w:pPr>
        <w:pStyle w:val="11"/>
        <w:numPr>
          <w:ilvl w:val="0"/>
          <w:numId w:val="4"/>
        </w:numPr>
        <w:spacing w:line="360" w:lineRule="auto"/>
        <w:ind w:left="-400" w:leftChars="0" w:firstLine="400" w:firstLineChars="0"/>
        <w:jc w:val="both"/>
        <w:rPr>
          <w:color w:val="auto"/>
          <w:sz w:val="21"/>
          <w:szCs w:val="21"/>
          <w:highlight w:val="none"/>
        </w:rPr>
      </w:pPr>
      <w:r>
        <w:rPr>
          <w:rFonts w:hint="eastAsia"/>
          <w:color w:val="auto"/>
          <w:sz w:val="21"/>
          <w:szCs w:val="21"/>
          <w:highlight w:val="none"/>
          <w:lang w:val="en-US" w:eastAsia="zh-CN"/>
        </w:rPr>
        <w:t>中标人配合采购人做好资产管理手续，对设备、线路等按采购人要求进行标识分类。</w:t>
      </w:r>
    </w:p>
    <w:p w14:paraId="368CC896">
      <w:pPr>
        <w:pStyle w:val="11"/>
        <w:numPr>
          <w:ilvl w:val="0"/>
          <w:numId w:val="4"/>
        </w:numPr>
        <w:spacing w:line="360" w:lineRule="auto"/>
        <w:ind w:left="-400" w:leftChars="0" w:firstLine="400" w:firstLineChars="0"/>
        <w:jc w:val="both"/>
        <w:rPr>
          <w:color w:val="auto"/>
          <w:sz w:val="21"/>
          <w:szCs w:val="21"/>
          <w:highlight w:val="none"/>
        </w:rPr>
      </w:pPr>
      <w:r>
        <w:rPr>
          <w:color w:val="auto"/>
          <w:sz w:val="21"/>
          <w:szCs w:val="21"/>
          <w:highlight w:val="none"/>
        </w:rPr>
        <w:t>质量标准要求：</w:t>
      </w:r>
    </w:p>
    <w:p w14:paraId="69EA7601">
      <w:pPr>
        <w:pStyle w:val="11"/>
        <w:numPr>
          <w:ilvl w:val="0"/>
          <w:numId w:val="7"/>
        </w:numPr>
        <w:spacing w:line="360" w:lineRule="auto"/>
        <w:ind w:left="845" w:leftChars="0" w:hanging="425" w:firstLineChars="0"/>
        <w:jc w:val="both"/>
        <w:rPr>
          <w:color w:val="auto"/>
          <w:sz w:val="21"/>
          <w:szCs w:val="21"/>
          <w:highlight w:val="none"/>
        </w:rPr>
      </w:pPr>
      <w:r>
        <w:rPr>
          <w:color w:val="auto"/>
          <w:sz w:val="21"/>
          <w:szCs w:val="21"/>
          <w:highlight w:val="none"/>
        </w:rPr>
        <w:t>设备质量标准按照招标文件、中标人投标文件、合同及其附件载明的标准执行。</w:t>
      </w:r>
    </w:p>
    <w:p w14:paraId="3FF7976C">
      <w:pPr>
        <w:pStyle w:val="11"/>
        <w:numPr>
          <w:ilvl w:val="0"/>
          <w:numId w:val="7"/>
        </w:numPr>
        <w:spacing w:line="360" w:lineRule="auto"/>
        <w:ind w:left="845" w:leftChars="0" w:hanging="425" w:firstLineChars="0"/>
        <w:jc w:val="both"/>
        <w:rPr>
          <w:color w:val="auto"/>
          <w:sz w:val="21"/>
          <w:szCs w:val="21"/>
          <w:highlight w:val="none"/>
        </w:rPr>
      </w:pPr>
      <w:r>
        <w:rPr>
          <w:color w:val="auto"/>
          <w:sz w:val="21"/>
          <w:szCs w:val="21"/>
          <w:highlight w:val="none"/>
        </w:rPr>
        <w:t>如招标文件约定的质量标准低于国家标准、行业标准，则按国家标准、行业标准中最高的标准执行。</w:t>
      </w:r>
    </w:p>
    <w:p w14:paraId="13186804">
      <w:pPr>
        <w:pStyle w:val="11"/>
        <w:numPr>
          <w:ilvl w:val="0"/>
          <w:numId w:val="7"/>
        </w:numPr>
        <w:spacing w:line="360" w:lineRule="auto"/>
        <w:ind w:left="845" w:leftChars="0" w:hanging="425" w:firstLineChars="0"/>
        <w:jc w:val="both"/>
        <w:rPr>
          <w:color w:val="auto"/>
          <w:sz w:val="21"/>
          <w:szCs w:val="21"/>
          <w:highlight w:val="none"/>
        </w:rPr>
      </w:pPr>
      <w:r>
        <w:rPr>
          <w:color w:val="auto"/>
          <w:sz w:val="21"/>
          <w:szCs w:val="21"/>
          <w:highlight w:val="none"/>
        </w:rPr>
        <w:t>任何情况下，设备质量标准都以能够使采购人实现合同目的为前提。</w:t>
      </w:r>
    </w:p>
    <w:p w14:paraId="2734C344">
      <w:pPr>
        <w:pStyle w:val="11"/>
        <w:numPr>
          <w:ilvl w:val="0"/>
          <w:numId w:val="7"/>
        </w:numPr>
        <w:spacing w:line="360" w:lineRule="auto"/>
        <w:ind w:left="845" w:leftChars="0" w:hanging="425" w:firstLineChars="0"/>
        <w:jc w:val="both"/>
        <w:rPr>
          <w:color w:val="auto"/>
          <w:sz w:val="21"/>
          <w:szCs w:val="21"/>
          <w:highlight w:val="none"/>
        </w:rPr>
      </w:pPr>
      <w:r>
        <w:rPr>
          <w:color w:val="auto"/>
          <w:sz w:val="21"/>
          <w:szCs w:val="21"/>
          <w:highlight w:val="none"/>
        </w:rPr>
        <w:t>中标人</w:t>
      </w:r>
      <w:r>
        <w:rPr>
          <w:rFonts w:hint="eastAsia"/>
          <w:color w:val="auto"/>
          <w:sz w:val="21"/>
          <w:szCs w:val="21"/>
          <w:highlight w:val="none"/>
          <w:lang w:val="en-US" w:eastAsia="zh-CN"/>
        </w:rPr>
        <w:t>应</w:t>
      </w:r>
      <w:r>
        <w:rPr>
          <w:color w:val="auto"/>
          <w:sz w:val="21"/>
          <w:szCs w:val="21"/>
          <w:highlight w:val="none"/>
        </w:rPr>
        <w:t>向采购人做出下列陈述和保证：</w:t>
      </w:r>
    </w:p>
    <w:p w14:paraId="77E06EC5">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中标人提供的设备为约定的品牌厂商生产、制造和包装。</w:t>
      </w:r>
    </w:p>
    <w:p w14:paraId="126E1182">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中标人提供的设备及其各部件应为全新的、未使用过的，不得提供翻新或部分翻新的设备。</w:t>
      </w:r>
    </w:p>
    <w:p w14:paraId="05D70BD4">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设备出厂前已通过质量检验，并随设备提供包括但不限于装箱单、说明书/用户手册、检验报告/合格证、质量认证资料、保修手册、配件、工具及满足正常使用的其他材料。</w:t>
      </w:r>
    </w:p>
    <w:p w14:paraId="7E6CAFB8">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设备没有设计或制造上的缺陷，并且根据设备的情况提供了适当的警示说明。</w:t>
      </w:r>
    </w:p>
    <w:p w14:paraId="660F39CE">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设备中的软件部分</w:t>
      </w:r>
      <w:r>
        <w:rPr>
          <w:rFonts w:hint="eastAsia"/>
          <w:color w:val="auto"/>
          <w:sz w:val="21"/>
          <w:szCs w:val="21"/>
          <w:highlight w:val="none"/>
          <w:lang w:eastAsia="zh-CN"/>
        </w:rPr>
        <w:t>（</w:t>
      </w:r>
      <w:r>
        <w:rPr>
          <w:rFonts w:hint="eastAsia"/>
          <w:color w:val="auto"/>
          <w:sz w:val="21"/>
          <w:szCs w:val="21"/>
          <w:highlight w:val="none"/>
          <w:lang w:val="en-US" w:eastAsia="zh-CN"/>
        </w:rPr>
        <w:t>如有）</w:t>
      </w:r>
      <w:r>
        <w:rPr>
          <w:color w:val="auto"/>
          <w:sz w:val="21"/>
          <w:szCs w:val="21"/>
          <w:highlight w:val="none"/>
        </w:rPr>
        <w:t>无病毒、无明显错误，能够充分实现说明中描述的功能、特点、内容和标准等。</w:t>
      </w:r>
    </w:p>
    <w:p w14:paraId="4E974D5C">
      <w:pPr>
        <w:pStyle w:val="11"/>
        <w:numPr>
          <w:ilvl w:val="0"/>
          <w:numId w:val="8"/>
        </w:numPr>
        <w:spacing w:line="360" w:lineRule="auto"/>
        <w:ind w:left="0" w:leftChars="0" w:firstLine="400" w:firstLineChars="0"/>
        <w:jc w:val="both"/>
        <w:rPr>
          <w:color w:val="auto"/>
          <w:sz w:val="21"/>
          <w:szCs w:val="21"/>
          <w:highlight w:val="none"/>
        </w:rPr>
      </w:pPr>
      <w:r>
        <w:rPr>
          <w:color w:val="auto"/>
          <w:sz w:val="21"/>
          <w:szCs w:val="21"/>
          <w:highlight w:val="none"/>
        </w:rPr>
        <w:t>中标人所提供的设备符合国家节能环保要求。</w:t>
      </w:r>
    </w:p>
    <w:p w14:paraId="0F02BAE3">
      <w:pPr>
        <w:pStyle w:val="11"/>
        <w:numPr>
          <w:ilvl w:val="0"/>
          <w:numId w:val="4"/>
        </w:numPr>
        <w:spacing w:line="360" w:lineRule="auto"/>
        <w:ind w:left="-400" w:leftChars="0" w:firstLine="400" w:firstLineChars="0"/>
        <w:jc w:val="both"/>
        <w:rPr>
          <w:color w:val="auto"/>
          <w:sz w:val="21"/>
          <w:szCs w:val="21"/>
          <w:highlight w:val="none"/>
        </w:rPr>
      </w:pPr>
      <w:r>
        <w:rPr>
          <w:color w:val="auto"/>
          <w:sz w:val="21"/>
          <w:szCs w:val="21"/>
          <w:highlight w:val="none"/>
        </w:rPr>
        <w:t>信息安全及保密要求：</w:t>
      </w:r>
    </w:p>
    <w:p w14:paraId="53346F5D">
      <w:pPr>
        <w:pStyle w:val="11"/>
        <w:numPr>
          <w:ilvl w:val="0"/>
          <w:numId w:val="9"/>
        </w:numPr>
        <w:spacing w:line="360" w:lineRule="auto"/>
        <w:ind w:left="425" w:leftChars="0" w:hanging="425" w:firstLineChars="0"/>
        <w:jc w:val="both"/>
        <w:rPr>
          <w:color w:val="auto"/>
          <w:sz w:val="21"/>
          <w:szCs w:val="21"/>
          <w:highlight w:val="none"/>
        </w:rPr>
      </w:pPr>
      <w:r>
        <w:rPr>
          <w:color w:val="auto"/>
          <w:sz w:val="21"/>
          <w:szCs w:val="21"/>
          <w:highlight w:val="none"/>
        </w:rPr>
        <w:t>中标人应严格遵守信息安全方面的规定，自觉保守信息资源秘密。项目成果以及采购人为方便项目实施所提供给中标人的相关资料文档，实施过程中所产生的资料、文档、数据、相关附属品均属于信息资源，中标人应保证这些信息在项目期间及项目完成后规定时间内的安全。中标人应建立并实际运行项目进展期间的信息安全管理规范，以确保项目启动、实施及完成后的信息安全。</w:t>
      </w:r>
    </w:p>
    <w:p w14:paraId="1E66A6CB">
      <w:pPr>
        <w:pStyle w:val="11"/>
        <w:numPr>
          <w:ilvl w:val="0"/>
          <w:numId w:val="9"/>
        </w:numPr>
        <w:spacing w:line="360" w:lineRule="auto"/>
        <w:ind w:left="425" w:leftChars="0" w:hanging="425" w:firstLineChars="0"/>
        <w:jc w:val="both"/>
        <w:rPr>
          <w:color w:val="auto"/>
          <w:sz w:val="21"/>
          <w:szCs w:val="21"/>
          <w:highlight w:val="none"/>
        </w:rPr>
      </w:pPr>
      <w:r>
        <w:rPr>
          <w:color w:val="auto"/>
          <w:sz w:val="21"/>
          <w:szCs w:val="21"/>
          <w:highlight w:val="none"/>
        </w:rPr>
        <w:t>非经采购人书面许可，中标人不得以任何形式泄露以上材料。因中标人原因导致上述资料、文档、数据安全受到威胁的，采购人有权要求中标人采取措施消除影响，并赔偿相应损失。</w:t>
      </w:r>
    </w:p>
    <w:p w14:paraId="6684E1C7">
      <w:pPr>
        <w:pStyle w:val="11"/>
        <w:numPr>
          <w:ilvl w:val="0"/>
          <w:numId w:val="9"/>
        </w:numPr>
        <w:spacing w:line="360" w:lineRule="auto"/>
        <w:ind w:left="425" w:leftChars="0" w:hanging="425" w:firstLineChars="0"/>
        <w:jc w:val="both"/>
        <w:rPr>
          <w:color w:val="auto"/>
          <w:sz w:val="21"/>
          <w:szCs w:val="21"/>
          <w:highlight w:val="none"/>
        </w:rPr>
      </w:pPr>
      <w:r>
        <w:rPr>
          <w:color w:val="auto"/>
          <w:sz w:val="21"/>
          <w:szCs w:val="21"/>
          <w:highlight w:val="none"/>
        </w:rPr>
        <w:t>中标人要承担合同履行时所要应尽的一切保密义务。中标人对项目实施过程中的资料、数据进行保密，未经采购人书面同意不得泄露，且保密责任不因合同的中止或解除而失效。</w:t>
      </w:r>
    </w:p>
    <w:p w14:paraId="1F548E12">
      <w:pPr>
        <w:pStyle w:val="11"/>
        <w:numPr>
          <w:ilvl w:val="0"/>
          <w:numId w:val="1"/>
        </w:numPr>
        <w:spacing w:line="360" w:lineRule="auto"/>
        <w:ind w:left="-420" w:leftChars="0" w:firstLine="420" w:firstLineChars="0"/>
        <w:jc w:val="left"/>
        <w:outlineLvl w:val="2"/>
        <w:rPr>
          <w:rFonts w:hint="eastAsia"/>
          <w:b/>
          <w:bCs/>
          <w:color w:val="auto"/>
          <w:sz w:val="21"/>
          <w:szCs w:val="21"/>
          <w:highlight w:val="none"/>
          <w:lang w:eastAsia="zh-CN"/>
        </w:rPr>
      </w:pPr>
      <w:r>
        <w:rPr>
          <w:rFonts w:hint="eastAsia"/>
          <w:b/>
          <w:bCs/>
          <w:color w:val="auto"/>
          <w:sz w:val="21"/>
          <w:szCs w:val="21"/>
          <w:highlight w:val="none"/>
          <w:lang w:eastAsia="zh-CN"/>
        </w:rPr>
        <w:t>项目</w:t>
      </w:r>
      <w:r>
        <w:rPr>
          <w:rFonts w:hint="eastAsia"/>
          <w:b/>
          <w:bCs/>
          <w:color w:val="auto"/>
          <w:sz w:val="21"/>
          <w:szCs w:val="21"/>
          <w:highlight w:val="none"/>
          <w:lang w:val="en-US" w:eastAsia="zh-CN"/>
        </w:rPr>
        <w:t>实施</w:t>
      </w:r>
      <w:r>
        <w:rPr>
          <w:b/>
          <w:bCs/>
          <w:color w:val="auto"/>
          <w:sz w:val="21"/>
          <w:szCs w:val="21"/>
          <w:highlight w:val="none"/>
        </w:rPr>
        <w:t>要求</w:t>
      </w:r>
    </w:p>
    <w:p w14:paraId="6C826D55">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本项目所有新升级设备保修期为3年，自项目通过综合验收合格之日起计算。</w:t>
      </w:r>
    </w:p>
    <w:p w14:paraId="701750D8">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中标人负责本项目所有点位的维修，确保合同期内，所有点位均能正常运行。同时，按采购人要求定期对本项目所有设备进行检查，降低故障率。</w:t>
      </w:r>
    </w:p>
    <w:p w14:paraId="7EDFC122">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中标人</w:t>
      </w:r>
      <w:r>
        <w:rPr>
          <w:color w:val="auto"/>
          <w:sz w:val="21"/>
          <w:szCs w:val="21"/>
          <w:highlight w:val="none"/>
        </w:rPr>
        <w:t>应保证所提供的所有设备、备件、光纤链路能与现有设备、光纤无缝连接</w:t>
      </w:r>
      <w:r>
        <w:rPr>
          <w:rFonts w:hint="eastAsia"/>
          <w:color w:val="auto"/>
          <w:sz w:val="21"/>
          <w:szCs w:val="21"/>
          <w:highlight w:val="none"/>
          <w:lang w:eastAsia="zh-CN"/>
        </w:rPr>
        <w:t>，确保</w:t>
      </w:r>
      <w:r>
        <w:rPr>
          <w:rFonts w:hint="eastAsia"/>
          <w:color w:val="auto"/>
          <w:sz w:val="21"/>
          <w:szCs w:val="21"/>
          <w:highlight w:val="none"/>
          <w:lang w:val="en-US" w:eastAsia="zh-CN"/>
        </w:rPr>
        <w:t>本项目</w:t>
      </w:r>
      <w:r>
        <w:rPr>
          <w:rFonts w:hint="eastAsia"/>
          <w:color w:val="auto"/>
          <w:sz w:val="21"/>
          <w:szCs w:val="21"/>
          <w:highlight w:val="none"/>
          <w:lang w:eastAsia="zh-CN"/>
        </w:rPr>
        <w:t>所有数据的正常使用。</w:t>
      </w:r>
    </w:p>
    <w:p w14:paraId="5779A30E">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color w:val="auto"/>
          <w:sz w:val="21"/>
          <w:szCs w:val="21"/>
          <w:highlight w:val="none"/>
        </w:rPr>
      </w:pPr>
      <w:r>
        <w:rPr>
          <w:rFonts w:hint="eastAsia"/>
          <w:color w:val="auto"/>
          <w:sz w:val="21"/>
          <w:szCs w:val="21"/>
          <w:highlight w:val="none"/>
        </w:rPr>
        <w:t>本项目网络及用电均由中标人负责，如出现中断情况，</w:t>
      </w:r>
      <w:r>
        <w:rPr>
          <w:rFonts w:hint="eastAsia"/>
          <w:color w:val="auto"/>
          <w:sz w:val="21"/>
          <w:szCs w:val="21"/>
          <w:highlight w:val="none"/>
          <w:lang w:val="en-US" w:eastAsia="zh-CN"/>
        </w:rPr>
        <w:t>中标人须</w:t>
      </w:r>
      <w:r>
        <w:rPr>
          <w:rFonts w:hint="eastAsia"/>
          <w:color w:val="auto"/>
          <w:sz w:val="21"/>
          <w:szCs w:val="21"/>
          <w:highlight w:val="none"/>
        </w:rPr>
        <w:t>及时处理，保证</w:t>
      </w:r>
      <w:r>
        <w:rPr>
          <w:rFonts w:hint="eastAsia"/>
          <w:color w:val="auto"/>
          <w:sz w:val="21"/>
          <w:szCs w:val="21"/>
          <w:highlight w:val="none"/>
          <w:lang w:val="en-US" w:eastAsia="zh-CN"/>
        </w:rPr>
        <w:t>采购人能</w:t>
      </w:r>
      <w:r>
        <w:rPr>
          <w:rFonts w:hint="eastAsia"/>
          <w:color w:val="auto"/>
          <w:sz w:val="21"/>
          <w:szCs w:val="21"/>
          <w:highlight w:val="none"/>
        </w:rPr>
        <w:t>正常工作</w:t>
      </w:r>
      <w:r>
        <w:rPr>
          <w:rFonts w:hint="eastAsia"/>
          <w:color w:val="auto"/>
          <w:sz w:val="21"/>
          <w:szCs w:val="21"/>
          <w:highlight w:val="none"/>
          <w:lang w:eastAsia="zh-CN"/>
        </w:rPr>
        <w:t>，</w:t>
      </w:r>
      <w:r>
        <w:rPr>
          <w:rFonts w:hint="eastAsia"/>
          <w:color w:val="auto"/>
          <w:sz w:val="21"/>
          <w:szCs w:val="21"/>
          <w:highlight w:val="none"/>
          <w:lang w:val="en-US" w:eastAsia="zh-CN"/>
        </w:rPr>
        <w:t>并根据</w:t>
      </w:r>
      <w:r>
        <w:rPr>
          <w:rFonts w:hint="eastAsia"/>
          <w:color w:val="auto"/>
          <w:sz w:val="21"/>
          <w:szCs w:val="21"/>
          <w:highlight w:val="none"/>
        </w:rPr>
        <w:t>采购人需要提供详细的故障处理及分析报告</w:t>
      </w:r>
      <w:r>
        <w:rPr>
          <w:rFonts w:hint="eastAsia"/>
          <w:color w:val="auto"/>
          <w:sz w:val="21"/>
          <w:szCs w:val="21"/>
          <w:highlight w:val="none"/>
          <w:lang w:eastAsia="zh-CN"/>
        </w:rPr>
        <w:t>。</w:t>
      </w:r>
    </w:p>
    <w:p w14:paraId="3F5E0BF7">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color w:val="auto"/>
          <w:sz w:val="21"/>
          <w:szCs w:val="21"/>
          <w:highlight w:val="none"/>
        </w:rPr>
      </w:pPr>
      <w:r>
        <w:rPr>
          <w:color w:val="auto"/>
          <w:highlight w:val="none"/>
        </w:rPr>
        <w:t>★</w:t>
      </w:r>
      <w:r>
        <w:rPr>
          <w:b/>
          <w:bCs/>
          <w:color w:val="auto"/>
          <w:sz w:val="21"/>
          <w:szCs w:val="21"/>
          <w:highlight w:val="none"/>
        </w:rPr>
        <w:t>设备</w:t>
      </w:r>
      <w:r>
        <w:rPr>
          <w:rFonts w:hint="eastAsia"/>
          <w:b/>
          <w:bCs/>
          <w:color w:val="auto"/>
          <w:sz w:val="21"/>
          <w:szCs w:val="21"/>
          <w:highlight w:val="none"/>
          <w:lang w:val="en-US" w:eastAsia="zh-CN"/>
        </w:rPr>
        <w:t>升级</w:t>
      </w:r>
      <w:r>
        <w:rPr>
          <w:b/>
          <w:bCs/>
          <w:color w:val="auto"/>
          <w:sz w:val="21"/>
          <w:szCs w:val="21"/>
          <w:highlight w:val="none"/>
        </w:rPr>
        <w:t>：本项目采购的所有设备应于项目合同签订之日起</w:t>
      </w:r>
      <w:r>
        <w:rPr>
          <w:rFonts w:hint="eastAsia"/>
          <w:b/>
          <w:bCs/>
          <w:color w:val="auto"/>
          <w:sz w:val="21"/>
          <w:szCs w:val="21"/>
          <w:highlight w:val="none"/>
          <w:lang w:val="en-US" w:eastAsia="zh-CN"/>
        </w:rPr>
        <w:t>15天</w:t>
      </w:r>
      <w:r>
        <w:rPr>
          <w:b/>
          <w:bCs/>
          <w:color w:val="auto"/>
          <w:sz w:val="21"/>
          <w:szCs w:val="21"/>
          <w:highlight w:val="none"/>
        </w:rPr>
        <w:t>内到货</w:t>
      </w:r>
      <w:r>
        <w:rPr>
          <w:rFonts w:hint="eastAsia"/>
          <w:b/>
          <w:bCs/>
          <w:color w:val="auto"/>
          <w:sz w:val="21"/>
          <w:szCs w:val="21"/>
          <w:highlight w:val="none"/>
          <w:lang w:val="en-US" w:eastAsia="zh-CN"/>
        </w:rPr>
        <w:t>并按采购人要求进行升级</w:t>
      </w:r>
      <w:r>
        <w:rPr>
          <w:b/>
          <w:bCs/>
          <w:color w:val="auto"/>
          <w:sz w:val="21"/>
          <w:szCs w:val="21"/>
          <w:highlight w:val="none"/>
        </w:rPr>
        <w:t>。设备</w:t>
      </w:r>
      <w:r>
        <w:rPr>
          <w:rFonts w:hint="eastAsia"/>
          <w:b/>
          <w:bCs/>
          <w:color w:val="auto"/>
          <w:sz w:val="21"/>
          <w:szCs w:val="21"/>
          <w:highlight w:val="none"/>
          <w:lang w:val="en-US" w:eastAsia="zh-CN"/>
        </w:rPr>
        <w:t>升级</w:t>
      </w:r>
      <w:r>
        <w:rPr>
          <w:b/>
          <w:bCs/>
          <w:color w:val="auto"/>
          <w:sz w:val="21"/>
          <w:szCs w:val="21"/>
          <w:highlight w:val="none"/>
        </w:rPr>
        <w:t>后，须确保</w:t>
      </w:r>
      <w:r>
        <w:rPr>
          <w:rFonts w:hint="eastAsia"/>
          <w:b/>
          <w:bCs/>
          <w:color w:val="auto"/>
          <w:sz w:val="21"/>
          <w:szCs w:val="21"/>
          <w:highlight w:val="none"/>
          <w:lang w:val="en-US" w:eastAsia="zh-CN"/>
        </w:rPr>
        <w:t>所有</w:t>
      </w:r>
      <w:r>
        <w:rPr>
          <w:b/>
          <w:bCs/>
          <w:color w:val="auto"/>
          <w:sz w:val="21"/>
          <w:szCs w:val="21"/>
          <w:highlight w:val="none"/>
        </w:rPr>
        <w:t>视频存储时间不低于30天的要求。</w:t>
      </w:r>
      <w:r>
        <w:rPr>
          <w:rFonts w:hint="eastAsia"/>
          <w:b/>
          <w:bCs/>
          <w:color w:val="auto"/>
          <w:sz w:val="21"/>
          <w:szCs w:val="21"/>
          <w:highlight w:val="none"/>
          <w:lang w:val="en-US" w:eastAsia="zh-CN"/>
        </w:rPr>
        <w:t>中标人升级</w:t>
      </w:r>
      <w:r>
        <w:rPr>
          <w:rFonts w:hint="default"/>
          <w:b/>
          <w:bCs/>
          <w:color w:val="auto"/>
          <w:sz w:val="21"/>
          <w:szCs w:val="21"/>
          <w:highlight w:val="none"/>
          <w:lang w:val="en-US"/>
        </w:rPr>
        <w:t>设备前必须书面通知采购人</w:t>
      </w:r>
      <w:r>
        <w:rPr>
          <w:rFonts w:hint="eastAsia"/>
          <w:b/>
          <w:bCs/>
          <w:color w:val="auto"/>
          <w:highlight w:val="none"/>
          <w:lang w:val="en-US" w:eastAsia="zh-CN"/>
        </w:rPr>
        <w:t>（格式自拟）</w:t>
      </w:r>
      <w:r>
        <w:rPr>
          <w:rFonts w:hint="eastAsia"/>
          <w:b/>
          <w:bCs/>
          <w:color w:val="auto"/>
          <w:sz w:val="21"/>
          <w:szCs w:val="21"/>
          <w:highlight w:val="none"/>
          <w:lang w:val="en-US" w:eastAsia="zh-CN"/>
        </w:rPr>
        <w:t>。</w:t>
      </w:r>
    </w:p>
    <w:p w14:paraId="566701CC">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color w:val="auto"/>
          <w:sz w:val="21"/>
          <w:szCs w:val="21"/>
          <w:highlight w:val="none"/>
        </w:rPr>
      </w:pPr>
      <w:r>
        <w:rPr>
          <w:rFonts w:hint="eastAsia"/>
          <w:color w:val="auto"/>
          <w:sz w:val="21"/>
          <w:szCs w:val="21"/>
          <w:highlight w:val="none"/>
          <w:lang w:val="en-US" w:eastAsia="zh-CN"/>
        </w:rPr>
        <w:t>本项目涉及的旧设备，中标人须按采购人的要求进行拆除，并运至指定地点，</w:t>
      </w:r>
      <w:r>
        <w:rPr>
          <w:rFonts w:hint="default"/>
          <w:color w:val="auto"/>
          <w:sz w:val="21"/>
          <w:szCs w:val="21"/>
          <w:highlight w:val="none"/>
          <w:lang w:val="en-US"/>
        </w:rPr>
        <w:t>交由采购人查验收回</w:t>
      </w:r>
      <w:r>
        <w:rPr>
          <w:rFonts w:hint="eastAsia"/>
          <w:color w:val="auto"/>
          <w:sz w:val="21"/>
          <w:szCs w:val="21"/>
          <w:highlight w:val="none"/>
          <w:lang w:val="en-US" w:eastAsia="zh-CN"/>
        </w:rPr>
        <w:t>，同时协助采购人办理资产报废手续。</w:t>
      </w:r>
    </w:p>
    <w:p w14:paraId="22612B4B">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color w:val="auto"/>
          <w:sz w:val="21"/>
          <w:szCs w:val="21"/>
          <w:highlight w:val="none"/>
        </w:rPr>
      </w:pPr>
      <w:r>
        <w:rPr>
          <w:rFonts w:hint="eastAsia"/>
          <w:color w:val="auto"/>
          <w:sz w:val="21"/>
          <w:szCs w:val="21"/>
          <w:highlight w:val="none"/>
          <w:lang w:eastAsia="zh-CN"/>
        </w:rPr>
        <w:t>如</w:t>
      </w:r>
      <w:r>
        <w:rPr>
          <w:rFonts w:hint="eastAsia"/>
          <w:color w:val="auto"/>
          <w:sz w:val="21"/>
          <w:szCs w:val="21"/>
          <w:highlight w:val="none"/>
          <w:lang w:val="en-US" w:eastAsia="zh-CN"/>
        </w:rPr>
        <w:t>因不可抗力原因导致</w:t>
      </w:r>
      <w:r>
        <w:rPr>
          <w:rFonts w:hint="eastAsia"/>
          <w:color w:val="auto"/>
          <w:sz w:val="21"/>
          <w:szCs w:val="21"/>
          <w:highlight w:val="none"/>
          <w:lang w:eastAsia="zh-CN"/>
        </w:rPr>
        <w:t>部分</w:t>
      </w:r>
      <w:r>
        <w:rPr>
          <w:color w:val="auto"/>
          <w:sz w:val="21"/>
          <w:szCs w:val="21"/>
          <w:highlight w:val="none"/>
        </w:rPr>
        <w:t>前端监控点</w:t>
      </w:r>
      <w:r>
        <w:rPr>
          <w:rFonts w:hint="eastAsia"/>
          <w:color w:val="auto"/>
          <w:sz w:val="21"/>
          <w:szCs w:val="21"/>
          <w:highlight w:val="none"/>
          <w:lang w:eastAsia="zh-CN"/>
        </w:rPr>
        <w:t>（</w:t>
      </w:r>
      <w:r>
        <w:rPr>
          <w:rFonts w:hint="eastAsia"/>
          <w:color w:val="auto"/>
          <w:sz w:val="21"/>
          <w:szCs w:val="21"/>
          <w:highlight w:val="none"/>
          <w:lang w:val="en-US" w:eastAsia="zh-CN"/>
        </w:rPr>
        <w:t>预计点位数的5%内，具体以实际情况为准）</w:t>
      </w:r>
      <w:r>
        <w:rPr>
          <w:color w:val="auto"/>
          <w:sz w:val="21"/>
          <w:szCs w:val="21"/>
          <w:highlight w:val="none"/>
        </w:rPr>
        <w:t>有迁移的必要时</w:t>
      </w:r>
      <w:r>
        <w:rPr>
          <w:rFonts w:hint="eastAsia"/>
          <w:color w:val="auto"/>
          <w:sz w:val="21"/>
          <w:szCs w:val="21"/>
          <w:highlight w:val="none"/>
          <w:lang w:eastAsia="zh-CN"/>
        </w:rPr>
        <w:t>，费用含在本合同内。</w:t>
      </w:r>
    </w:p>
    <w:p w14:paraId="6D4D37BE">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color w:val="auto"/>
          <w:sz w:val="21"/>
          <w:szCs w:val="21"/>
          <w:highlight w:val="none"/>
        </w:rPr>
      </w:pPr>
      <w:r>
        <w:rPr>
          <w:color w:val="auto"/>
          <w:sz w:val="21"/>
          <w:szCs w:val="21"/>
          <w:highlight w:val="none"/>
        </w:rPr>
        <w:t>安装调试要求：</w:t>
      </w:r>
    </w:p>
    <w:p w14:paraId="590E5AEE">
      <w:pPr>
        <w:pStyle w:val="11"/>
        <w:numPr>
          <w:ilvl w:val="0"/>
          <w:numId w:val="11"/>
        </w:numPr>
        <w:spacing w:line="360" w:lineRule="auto"/>
        <w:ind w:left="425" w:leftChars="0" w:hanging="425" w:firstLineChars="0"/>
        <w:jc w:val="both"/>
        <w:rPr>
          <w:rFonts w:hint="eastAsia"/>
          <w:color w:val="auto"/>
          <w:sz w:val="21"/>
          <w:szCs w:val="21"/>
          <w:highlight w:val="none"/>
          <w:lang w:eastAsia="zh-CN"/>
        </w:rPr>
      </w:pPr>
      <w:r>
        <w:rPr>
          <w:color w:val="auto"/>
          <w:sz w:val="21"/>
          <w:szCs w:val="21"/>
          <w:highlight w:val="none"/>
        </w:rPr>
        <w:t>本项目采购的所有设备应</w:t>
      </w:r>
      <w:r>
        <w:rPr>
          <w:rFonts w:hint="eastAsia"/>
          <w:color w:val="auto"/>
          <w:sz w:val="21"/>
          <w:szCs w:val="21"/>
          <w:highlight w:val="none"/>
          <w:lang w:val="en-US" w:eastAsia="zh-CN"/>
        </w:rPr>
        <w:t>按采购人要求</w:t>
      </w:r>
      <w:r>
        <w:rPr>
          <w:color w:val="auto"/>
          <w:sz w:val="21"/>
          <w:szCs w:val="21"/>
          <w:highlight w:val="none"/>
        </w:rPr>
        <w:t>完成安装调试</w:t>
      </w:r>
      <w:r>
        <w:rPr>
          <w:rFonts w:hint="eastAsia"/>
          <w:color w:val="auto"/>
          <w:sz w:val="21"/>
          <w:szCs w:val="21"/>
          <w:highlight w:val="none"/>
          <w:lang w:eastAsia="zh-CN"/>
        </w:rPr>
        <w:t>。</w:t>
      </w:r>
    </w:p>
    <w:p w14:paraId="36DED0BC">
      <w:pPr>
        <w:pStyle w:val="11"/>
        <w:numPr>
          <w:ilvl w:val="0"/>
          <w:numId w:val="11"/>
        </w:numPr>
        <w:spacing w:line="360" w:lineRule="auto"/>
        <w:ind w:left="425" w:leftChars="0" w:hanging="425" w:firstLineChars="0"/>
        <w:jc w:val="both"/>
        <w:rPr>
          <w:color w:val="auto"/>
          <w:sz w:val="21"/>
          <w:szCs w:val="21"/>
          <w:highlight w:val="none"/>
        </w:rPr>
      </w:pPr>
      <w:r>
        <w:rPr>
          <w:color w:val="auto"/>
          <w:sz w:val="21"/>
          <w:szCs w:val="21"/>
          <w:highlight w:val="none"/>
        </w:rPr>
        <w:t>中标人</w:t>
      </w:r>
      <w:r>
        <w:rPr>
          <w:rFonts w:hint="eastAsia"/>
          <w:color w:val="auto"/>
          <w:sz w:val="21"/>
          <w:szCs w:val="21"/>
          <w:highlight w:val="none"/>
          <w:lang w:val="en-US" w:eastAsia="zh-CN"/>
        </w:rPr>
        <w:t>应</w:t>
      </w:r>
      <w:r>
        <w:rPr>
          <w:color w:val="auto"/>
          <w:sz w:val="21"/>
          <w:szCs w:val="21"/>
          <w:highlight w:val="none"/>
        </w:rPr>
        <w:t>协助采购人安装</w:t>
      </w:r>
      <w:r>
        <w:rPr>
          <w:rFonts w:hint="eastAsia"/>
          <w:color w:val="auto"/>
          <w:sz w:val="21"/>
          <w:szCs w:val="21"/>
          <w:highlight w:val="none"/>
          <w:lang w:val="en-US" w:eastAsia="zh-CN"/>
        </w:rPr>
        <w:t>本项目涉及的</w:t>
      </w:r>
      <w:r>
        <w:rPr>
          <w:color w:val="auto"/>
          <w:sz w:val="21"/>
          <w:szCs w:val="21"/>
          <w:highlight w:val="none"/>
        </w:rPr>
        <w:t>系统并调试成功</w:t>
      </w:r>
      <w:r>
        <w:rPr>
          <w:rFonts w:hint="eastAsia"/>
          <w:color w:val="auto"/>
          <w:sz w:val="21"/>
          <w:szCs w:val="21"/>
          <w:highlight w:val="none"/>
          <w:lang w:eastAsia="zh-CN"/>
        </w:rPr>
        <w:t>，</w:t>
      </w:r>
      <w:r>
        <w:rPr>
          <w:rFonts w:hint="eastAsia"/>
          <w:color w:val="auto"/>
          <w:sz w:val="21"/>
          <w:szCs w:val="21"/>
          <w:highlight w:val="none"/>
          <w:lang w:val="en-US" w:eastAsia="zh-CN"/>
        </w:rPr>
        <w:t>使项目顺利进入试运行期</w:t>
      </w:r>
      <w:r>
        <w:rPr>
          <w:color w:val="auto"/>
          <w:sz w:val="21"/>
          <w:szCs w:val="21"/>
          <w:highlight w:val="none"/>
        </w:rPr>
        <w:t>。安装调试所需的工具、物料</w:t>
      </w:r>
      <w:r>
        <w:rPr>
          <w:rFonts w:hint="eastAsia"/>
          <w:color w:val="auto"/>
          <w:sz w:val="21"/>
          <w:szCs w:val="21"/>
          <w:highlight w:val="none"/>
          <w:lang w:val="en-US" w:eastAsia="zh-CN"/>
        </w:rPr>
        <w:t>等均</w:t>
      </w:r>
      <w:r>
        <w:rPr>
          <w:color w:val="auto"/>
          <w:sz w:val="21"/>
          <w:szCs w:val="21"/>
          <w:highlight w:val="none"/>
        </w:rPr>
        <w:t>由中标人自备；安装调试完</w:t>
      </w:r>
      <w:r>
        <w:rPr>
          <w:rFonts w:hint="eastAsia"/>
          <w:color w:val="auto"/>
          <w:sz w:val="21"/>
          <w:szCs w:val="21"/>
          <w:highlight w:val="none"/>
          <w:lang w:val="en-US" w:eastAsia="zh-CN"/>
        </w:rPr>
        <w:t>成</w:t>
      </w:r>
      <w:r>
        <w:rPr>
          <w:color w:val="auto"/>
          <w:sz w:val="21"/>
          <w:szCs w:val="21"/>
          <w:highlight w:val="none"/>
        </w:rPr>
        <w:t>后，中标人按照采购人要求对现场进行清理。</w:t>
      </w:r>
    </w:p>
    <w:p w14:paraId="18AE4B53">
      <w:pPr>
        <w:pStyle w:val="11"/>
        <w:numPr>
          <w:ilvl w:val="0"/>
          <w:numId w:val="11"/>
        </w:numPr>
        <w:spacing w:line="360" w:lineRule="auto"/>
        <w:ind w:left="425" w:leftChars="0" w:hanging="425" w:firstLineChars="0"/>
        <w:jc w:val="both"/>
        <w:rPr>
          <w:color w:val="auto"/>
          <w:sz w:val="21"/>
          <w:szCs w:val="21"/>
          <w:highlight w:val="none"/>
        </w:rPr>
      </w:pPr>
      <w:r>
        <w:rPr>
          <w:rFonts w:hint="eastAsia"/>
          <w:color w:val="auto"/>
          <w:sz w:val="21"/>
          <w:szCs w:val="21"/>
          <w:highlight w:val="none"/>
          <w:lang w:val="en-US" w:eastAsia="zh-CN"/>
        </w:rPr>
        <w:t>试运行期间，</w:t>
      </w:r>
      <w:r>
        <w:rPr>
          <w:color w:val="auto"/>
          <w:sz w:val="21"/>
          <w:szCs w:val="21"/>
          <w:highlight w:val="none"/>
        </w:rPr>
        <w:t>设备出现故障的，中标人应及时解决并做好记录，该记录将作为设备性能测试的原始资料和验收结论。</w:t>
      </w:r>
    </w:p>
    <w:p w14:paraId="1B255F5B">
      <w:pPr>
        <w:pStyle w:val="11"/>
        <w:numPr>
          <w:ilvl w:val="0"/>
          <w:numId w:val="11"/>
        </w:numPr>
        <w:spacing w:line="360" w:lineRule="auto"/>
        <w:ind w:left="425" w:leftChars="0" w:hanging="425" w:firstLineChars="0"/>
        <w:jc w:val="both"/>
        <w:rPr>
          <w:color w:val="auto"/>
          <w:sz w:val="21"/>
          <w:szCs w:val="21"/>
          <w:highlight w:val="none"/>
        </w:rPr>
      </w:pPr>
      <w:r>
        <w:rPr>
          <w:color w:val="auto"/>
          <w:sz w:val="21"/>
          <w:szCs w:val="21"/>
          <w:highlight w:val="none"/>
        </w:rPr>
        <w:t>中标人应根据项目</w:t>
      </w:r>
      <w:r>
        <w:rPr>
          <w:rFonts w:hint="eastAsia"/>
          <w:color w:val="auto"/>
          <w:sz w:val="21"/>
          <w:szCs w:val="21"/>
          <w:highlight w:val="none"/>
          <w:lang w:val="en-US" w:eastAsia="zh-CN"/>
        </w:rPr>
        <w:t>要求</w:t>
      </w:r>
      <w:r>
        <w:rPr>
          <w:color w:val="auto"/>
          <w:sz w:val="21"/>
          <w:szCs w:val="21"/>
          <w:highlight w:val="none"/>
        </w:rPr>
        <w:t>，</w:t>
      </w:r>
      <w:r>
        <w:rPr>
          <w:rFonts w:hint="eastAsia"/>
          <w:color w:val="auto"/>
          <w:sz w:val="21"/>
          <w:szCs w:val="21"/>
          <w:highlight w:val="none"/>
          <w:lang w:val="en-US" w:eastAsia="zh-CN"/>
        </w:rPr>
        <w:t>对本项目所有设备</w:t>
      </w:r>
      <w:r>
        <w:rPr>
          <w:color w:val="auto"/>
          <w:sz w:val="21"/>
          <w:szCs w:val="21"/>
          <w:highlight w:val="none"/>
        </w:rPr>
        <w:t>进行上架、安装、通电检测、基础软件的安装部署、调试等工作。</w:t>
      </w:r>
    </w:p>
    <w:p w14:paraId="4A60B1C3">
      <w:pPr>
        <w:pStyle w:val="11"/>
        <w:numPr>
          <w:ilvl w:val="0"/>
          <w:numId w:val="11"/>
        </w:numPr>
        <w:spacing w:line="360" w:lineRule="auto"/>
        <w:ind w:left="425" w:leftChars="0" w:hanging="425" w:firstLineChars="0"/>
        <w:jc w:val="both"/>
        <w:rPr>
          <w:color w:val="auto"/>
          <w:sz w:val="21"/>
          <w:szCs w:val="21"/>
          <w:highlight w:val="none"/>
        </w:rPr>
      </w:pPr>
      <w:r>
        <w:rPr>
          <w:color w:val="auto"/>
          <w:sz w:val="21"/>
          <w:szCs w:val="21"/>
          <w:highlight w:val="none"/>
        </w:rPr>
        <w:t>中标人必须向采购人提供本项目采购的所有硬件设备和基础软件，并负责完成整个项目所涉及的设备配置、调试等工作。</w:t>
      </w:r>
    </w:p>
    <w:p w14:paraId="02070F6E">
      <w:pPr>
        <w:pStyle w:val="11"/>
        <w:numPr>
          <w:ilvl w:val="0"/>
          <w:numId w:val="11"/>
        </w:numPr>
        <w:spacing w:line="360" w:lineRule="auto"/>
        <w:ind w:left="425" w:leftChars="0" w:hanging="425" w:firstLineChars="0"/>
        <w:jc w:val="both"/>
        <w:rPr>
          <w:color w:val="auto"/>
          <w:sz w:val="21"/>
          <w:szCs w:val="21"/>
          <w:highlight w:val="none"/>
        </w:rPr>
      </w:pPr>
      <w:r>
        <w:rPr>
          <w:color w:val="auto"/>
          <w:sz w:val="21"/>
          <w:szCs w:val="21"/>
          <w:highlight w:val="none"/>
        </w:rPr>
        <w:t>本项目</w:t>
      </w:r>
      <w:r>
        <w:rPr>
          <w:rFonts w:hint="eastAsia"/>
          <w:color w:val="auto"/>
          <w:sz w:val="21"/>
          <w:szCs w:val="21"/>
          <w:highlight w:val="none"/>
          <w:lang w:val="en-US" w:eastAsia="zh-CN"/>
        </w:rPr>
        <w:t>所有</w:t>
      </w:r>
      <w:r>
        <w:rPr>
          <w:color w:val="auto"/>
          <w:sz w:val="21"/>
          <w:szCs w:val="21"/>
          <w:highlight w:val="none"/>
        </w:rPr>
        <w:t>工作部署</w:t>
      </w:r>
      <w:r>
        <w:rPr>
          <w:rFonts w:hint="eastAsia"/>
          <w:color w:val="auto"/>
          <w:sz w:val="21"/>
          <w:szCs w:val="21"/>
          <w:highlight w:val="none"/>
          <w:lang w:eastAsia="zh-CN"/>
        </w:rPr>
        <w:t>，</w:t>
      </w:r>
      <w:r>
        <w:rPr>
          <w:rFonts w:hint="eastAsia"/>
          <w:color w:val="auto"/>
          <w:sz w:val="21"/>
          <w:szCs w:val="21"/>
          <w:highlight w:val="none"/>
          <w:lang w:val="en-US" w:eastAsia="zh-CN"/>
        </w:rPr>
        <w:t>应</w:t>
      </w:r>
      <w:r>
        <w:rPr>
          <w:color w:val="auto"/>
          <w:sz w:val="21"/>
          <w:szCs w:val="21"/>
          <w:highlight w:val="none"/>
        </w:rPr>
        <w:t>在采购人指定的地点</w:t>
      </w:r>
      <w:r>
        <w:rPr>
          <w:rFonts w:hint="eastAsia"/>
          <w:color w:val="auto"/>
          <w:sz w:val="21"/>
          <w:szCs w:val="21"/>
          <w:highlight w:val="none"/>
          <w:lang w:val="en-US" w:eastAsia="zh-CN"/>
        </w:rPr>
        <w:t>和环境下</w:t>
      </w:r>
      <w:r>
        <w:rPr>
          <w:color w:val="auto"/>
          <w:sz w:val="21"/>
          <w:szCs w:val="21"/>
          <w:highlight w:val="none"/>
        </w:rPr>
        <w:t>进行，并实现正常运行，达到招标文件要求的性能、功能和产品技术规格。</w:t>
      </w:r>
    </w:p>
    <w:p w14:paraId="0D1E612E">
      <w:pPr>
        <w:pStyle w:val="11"/>
        <w:numPr>
          <w:ilvl w:val="0"/>
          <w:numId w:val="11"/>
        </w:numPr>
        <w:spacing w:line="360" w:lineRule="auto"/>
        <w:ind w:left="425" w:leftChars="0" w:hanging="425" w:firstLineChars="0"/>
        <w:jc w:val="both"/>
        <w:rPr>
          <w:rFonts w:hint="eastAsia"/>
          <w:color w:val="auto"/>
          <w:sz w:val="21"/>
          <w:szCs w:val="21"/>
          <w:highlight w:val="none"/>
          <w:lang w:val="en-US" w:eastAsia="zh-CN"/>
        </w:rPr>
      </w:pPr>
      <w:r>
        <w:rPr>
          <w:color w:val="auto"/>
          <w:sz w:val="21"/>
          <w:szCs w:val="21"/>
          <w:highlight w:val="none"/>
        </w:rPr>
        <w:t>所有设备</w:t>
      </w:r>
      <w:r>
        <w:rPr>
          <w:rFonts w:hint="eastAsia"/>
          <w:color w:val="auto"/>
          <w:sz w:val="21"/>
          <w:szCs w:val="21"/>
          <w:highlight w:val="none"/>
          <w:lang w:val="en-US" w:eastAsia="zh-CN"/>
        </w:rPr>
        <w:t>及服务</w:t>
      </w:r>
      <w:r>
        <w:rPr>
          <w:color w:val="auto"/>
          <w:sz w:val="21"/>
          <w:szCs w:val="21"/>
          <w:highlight w:val="none"/>
        </w:rPr>
        <w:t>均须由中标人送货上门并安装调试。采购人不再支付任何费用。</w:t>
      </w:r>
      <w:r>
        <w:rPr>
          <w:rFonts w:hint="eastAsia"/>
          <w:color w:val="auto"/>
          <w:sz w:val="21"/>
          <w:szCs w:val="21"/>
          <w:highlight w:val="none"/>
          <w:lang w:val="en-US" w:eastAsia="zh-CN"/>
        </w:rPr>
        <w:t xml:space="preserve"> </w:t>
      </w:r>
    </w:p>
    <w:p w14:paraId="6F0DC4A5">
      <w:pPr>
        <w:pStyle w:val="11"/>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合同期内，自升级改造综合验收通过后，运维期内</w:t>
      </w:r>
      <w:r>
        <w:rPr>
          <w:rFonts w:hint="eastAsia" w:ascii="宋体" w:hAnsi="宋体" w:eastAsia="宋体" w:cs="宋体"/>
          <w:color w:val="auto"/>
          <w:sz w:val="21"/>
          <w:szCs w:val="21"/>
          <w:highlight w:val="none"/>
          <w:lang w:eastAsia="zh-CN"/>
        </w:rPr>
        <w:t>每月进行验收。</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u w:val="none"/>
          <w:lang w:val="en-US" w:eastAsia="zh-CN"/>
        </w:rPr>
        <w:t>每月</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一次</w:t>
      </w:r>
      <w:r>
        <w:rPr>
          <w:rFonts w:hint="eastAsia" w:ascii="宋体" w:hAnsi="宋体" w:eastAsia="宋体" w:cs="宋体"/>
          <w:color w:val="auto"/>
          <w:sz w:val="21"/>
          <w:szCs w:val="21"/>
          <w:highlight w:val="none"/>
        </w:rPr>
        <w:t>工作报告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每月第一个工作周，将上月抢修、维护保养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故障排队等</w:t>
      </w:r>
      <w:r>
        <w:rPr>
          <w:rFonts w:hint="eastAsia" w:ascii="宋体" w:hAnsi="宋体" w:eastAsia="宋体" w:cs="宋体"/>
          <w:color w:val="auto"/>
          <w:sz w:val="21"/>
          <w:szCs w:val="21"/>
          <w:highlight w:val="none"/>
        </w:rPr>
        <w:t>记录</w:t>
      </w:r>
      <w:r>
        <w:rPr>
          <w:rFonts w:hint="eastAsia" w:ascii="宋体" w:hAnsi="宋体" w:eastAsia="宋体" w:cs="宋体"/>
          <w:color w:val="auto"/>
          <w:sz w:val="21"/>
          <w:szCs w:val="21"/>
          <w:highlight w:val="none"/>
          <w:lang w:val="en-US" w:eastAsia="zh-CN"/>
        </w:rPr>
        <w:t>整理汇编（电子档和纸质版），形成工作台账，和请款资料一并递交</w:t>
      </w:r>
      <w:r>
        <w:rPr>
          <w:rFonts w:hint="eastAsia" w:ascii="宋体" w:hAnsi="宋体" w:eastAsia="宋体" w:cs="宋体"/>
          <w:color w:val="auto"/>
          <w:sz w:val="21"/>
          <w:szCs w:val="21"/>
          <w:highlight w:val="none"/>
          <w:u w:val="none"/>
          <w:lang w:val="en-US" w:eastAsia="zh-CN"/>
        </w:rPr>
        <w:t>采购人，如采购人出现资料不齐且未能按要求及时补正，采购人有权不支付合同款。</w:t>
      </w:r>
    </w:p>
    <w:p w14:paraId="63FED7D1">
      <w:pPr>
        <w:pStyle w:val="11"/>
        <w:numPr>
          <w:ilvl w:val="0"/>
          <w:numId w:val="1"/>
        </w:numPr>
        <w:spacing w:line="360" w:lineRule="auto"/>
        <w:ind w:left="-420" w:leftChars="0" w:firstLine="420" w:firstLineChars="0"/>
        <w:jc w:val="left"/>
        <w:outlineLvl w:val="2"/>
        <w:rPr>
          <w:rFonts w:hint="eastAsia"/>
          <w:color w:val="auto"/>
          <w:sz w:val="21"/>
          <w:szCs w:val="21"/>
          <w:highlight w:val="none"/>
          <w:lang w:eastAsia="zh-CN"/>
        </w:rPr>
      </w:pPr>
      <w:r>
        <w:rPr>
          <w:b/>
          <w:bCs/>
          <w:color w:val="auto"/>
          <w:sz w:val="21"/>
          <w:szCs w:val="21"/>
          <w:highlight w:val="none"/>
        </w:rPr>
        <w:t>服务要求</w:t>
      </w:r>
    </w:p>
    <w:p w14:paraId="08656DA4">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color w:val="auto"/>
          <w:highlight w:val="none"/>
          <w:lang w:eastAsia="zh-CN"/>
        </w:rPr>
      </w:pPr>
      <w:r>
        <w:rPr>
          <w:rFonts w:hint="eastAsia" w:ascii="宋体" w:hAnsi="宋体" w:cs="宋体"/>
          <w:b/>
          <w:bCs/>
          <w:i w:val="0"/>
          <w:iCs w:val="0"/>
          <w:color w:val="auto"/>
          <w:kern w:val="0"/>
          <w:sz w:val="21"/>
          <w:szCs w:val="21"/>
          <w:highlight w:val="none"/>
          <w:u w:val="none"/>
          <w:lang w:val="en-US" w:eastAsia="zh-CN"/>
        </w:rPr>
        <w:t>自本项目合同签订之日起至最终运维期止，中标人应保证所有光纤链路、所有项目内的设备，均能正常运行。</w:t>
      </w:r>
    </w:p>
    <w:p w14:paraId="0DECDD2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color w:val="auto"/>
          <w:highlight w:val="none"/>
          <w:lang w:eastAsia="zh-CN"/>
        </w:rPr>
      </w:pPr>
      <w:r>
        <w:rPr>
          <w:rFonts w:hint="eastAsia"/>
          <w:color w:val="auto"/>
          <w:highlight w:val="none"/>
          <w:lang w:eastAsia="zh-CN"/>
        </w:rPr>
        <w:t>中标人</w:t>
      </w:r>
      <w:r>
        <w:rPr>
          <w:color w:val="auto"/>
          <w:highlight w:val="none"/>
        </w:rPr>
        <w:t>设立专门的运维服务管理及咨询中心，提供7×24小时呼叫中心服务，建立项目运维团队，负责在保期内开展项目的整体运维工作</w:t>
      </w:r>
      <w:r>
        <w:rPr>
          <w:rFonts w:hint="eastAsia"/>
          <w:color w:val="auto"/>
          <w:highlight w:val="none"/>
          <w:lang w:eastAsia="zh-CN"/>
        </w:rPr>
        <w:t>，及时解决故障，保证</w:t>
      </w:r>
      <w:r>
        <w:rPr>
          <w:rFonts w:hint="eastAsia"/>
          <w:color w:val="auto"/>
          <w:highlight w:val="none"/>
          <w:lang w:val="en-US" w:eastAsia="zh-CN"/>
        </w:rPr>
        <w:t>采购人的</w:t>
      </w:r>
      <w:r>
        <w:rPr>
          <w:rFonts w:hint="eastAsia"/>
          <w:color w:val="auto"/>
          <w:highlight w:val="none"/>
          <w:lang w:eastAsia="zh-CN"/>
        </w:rPr>
        <w:t>服务</w:t>
      </w:r>
      <w:r>
        <w:rPr>
          <w:rFonts w:hint="eastAsia"/>
          <w:color w:val="auto"/>
          <w:highlight w:val="none"/>
          <w:lang w:val="en-US" w:eastAsia="zh-CN"/>
        </w:rPr>
        <w:t>需求</w:t>
      </w:r>
      <w:r>
        <w:rPr>
          <w:rFonts w:hint="eastAsia"/>
          <w:color w:val="auto"/>
          <w:highlight w:val="none"/>
          <w:lang w:eastAsia="zh-CN"/>
        </w:rPr>
        <w:t>得到</w:t>
      </w:r>
      <w:r>
        <w:rPr>
          <w:rFonts w:hint="eastAsia"/>
          <w:color w:val="auto"/>
          <w:highlight w:val="none"/>
          <w:lang w:val="en-US" w:eastAsia="zh-CN"/>
        </w:rPr>
        <w:t>快速解决</w:t>
      </w:r>
      <w:r>
        <w:rPr>
          <w:rFonts w:hint="eastAsia"/>
          <w:color w:val="auto"/>
          <w:highlight w:val="none"/>
          <w:lang w:eastAsia="zh-CN"/>
        </w:rPr>
        <w:t>。</w:t>
      </w:r>
    </w:p>
    <w:p w14:paraId="62D81C2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color w:val="auto"/>
          <w:highlight w:val="none"/>
          <w:lang w:eastAsia="zh-CN"/>
        </w:rPr>
      </w:pPr>
      <w:r>
        <w:rPr>
          <w:rFonts w:hint="eastAsia"/>
          <w:color w:val="auto"/>
          <w:highlight w:val="none"/>
          <w:lang w:eastAsia="zh-CN"/>
        </w:rPr>
        <w:t>摄像机保养：</w:t>
      </w:r>
      <w:r>
        <w:rPr>
          <w:rFonts w:hint="eastAsia"/>
          <w:color w:val="auto"/>
          <w:highlight w:val="none"/>
          <w:lang w:val="en-US" w:eastAsia="zh-CN"/>
        </w:rPr>
        <w:t>中标人</w:t>
      </w:r>
      <w:r>
        <w:rPr>
          <w:rFonts w:hint="eastAsia"/>
          <w:color w:val="auto"/>
          <w:highlight w:val="none"/>
          <w:lang w:eastAsia="zh-CN"/>
        </w:rPr>
        <w:t>应每一个季度定期对摄像机表面进行清洁、除垢、对遮挡“视线”的树枝进行修剪（需要时由采购人出面协调）；</w:t>
      </w:r>
      <w:r>
        <w:rPr>
          <w:rFonts w:hint="eastAsia"/>
          <w:color w:val="auto"/>
          <w:highlight w:val="none"/>
          <w:lang w:val="en-US" w:eastAsia="zh-CN"/>
        </w:rPr>
        <w:t>如采购人日常巡视中，发现有需要进行保养的设备，中标人须在接到采购人通知后一天内，按要求进行保养。</w:t>
      </w:r>
    </w:p>
    <w:p w14:paraId="7C85F0E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color w:val="auto"/>
          <w:highlight w:val="none"/>
          <w:lang w:eastAsia="zh-CN"/>
        </w:rPr>
      </w:pPr>
      <w:r>
        <w:rPr>
          <w:rFonts w:hint="eastAsia"/>
          <w:color w:val="auto"/>
          <w:highlight w:val="none"/>
          <w:lang w:eastAsia="zh-CN"/>
        </w:rPr>
        <w:t>系统保养：每年4次（每季度一次）对系统进行全面的检测保养，时间为每季度的第一个月的第一周。</w:t>
      </w:r>
    </w:p>
    <w:p w14:paraId="6A41032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b/>
          <w:bCs/>
          <w:color w:val="auto"/>
          <w:highlight w:val="none"/>
          <w:lang w:eastAsia="zh-CN"/>
        </w:rPr>
      </w:pPr>
      <w:r>
        <w:rPr>
          <w:rFonts w:hint="eastAsia"/>
          <w:color w:val="auto"/>
          <w:highlight w:val="none"/>
          <w:lang w:eastAsia="zh-CN"/>
        </w:rPr>
        <w:t>中标人</w:t>
      </w:r>
      <w:r>
        <w:rPr>
          <w:color w:val="auto"/>
          <w:highlight w:val="none"/>
        </w:rPr>
        <w:t>日常</w:t>
      </w:r>
      <w:r>
        <w:rPr>
          <w:rFonts w:hint="eastAsia"/>
          <w:color w:val="auto"/>
          <w:highlight w:val="none"/>
        </w:rPr>
        <w:t>巡检</w:t>
      </w:r>
      <w:r>
        <w:rPr>
          <w:color w:val="auto"/>
          <w:highlight w:val="none"/>
        </w:rPr>
        <w:t>工作，</w:t>
      </w:r>
      <w:r>
        <w:rPr>
          <w:rFonts w:hint="eastAsia"/>
          <w:color w:val="auto"/>
          <w:highlight w:val="none"/>
        </w:rPr>
        <w:t>至少两天巡检一次，一台车配两个人，</w:t>
      </w:r>
      <w:r>
        <w:rPr>
          <w:rFonts w:hint="eastAsia"/>
          <w:color w:val="auto"/>
          <w:highlight w:val="none"/>
          <w:lang w:eastAsia="zh-CN"/>
        </w:rPr>
        <w:t>合同期内</w:t>
      </w:r>
      <w:r>
        <w:rPr>
          <w:rFonts w:hint="eastAsia"/>
          <w:color w:val="auto"/>
          <w:highlight w:val="none"/>
          <w:lang w:val="en-US" w:eastAsia="zh-CN"/>
        </w:rPr>
        <w:t>不少于</w:t>
      </w:r>
      <w:r>
        <w:rPr>
          <w:rFonts w:hint="eastAsia"/>
          <w:color w:val="auto"/>
          <w:highlight w:val="none"/>
        </w:rPr>
        <w:t>365次</w:t>
      </w:r>
      <w:r>
        <w:rPr>
          <w:rFonts w:hint="eastAsia"/>
          <w:color w:val="auto"/>
          <w:highlight w:val="none"/>
          <w:lang w:eastAsia="zh-CN"/>
        </w:rPr>
        <w:t>。</w:t>
      </w:r>
    </w:p>
    <w:p w14:paraId="00DD936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b w:val="0"/>
          <w:bCs w:val="0"/>
          <w:color w:val="auto"/>
          <w:highlight w:val="none"/>
          <w:lang w:eastAsia="zh-CN"/>
        </w:rPr>
      </w:pPr>
      <w:r>
        <w:rPr>
          <w:rFonts w:hint="eastAsia"/>
          <w:b w:val="0"/>
          <w:bCs w:val="0"/>
          <w:color w:val="auto"/>
          <w:highlight w:val="none"/>
          <w:lang w:eastAsia="zh-CN"/>
        </w:rPr>
        <w:t>中标人至少一周上门服务1次，对</w:t>
      </w:r>
      <w:r>
        <w:rPr>
          <w:rFonts w:hint="eastAsia"/>
          <w:b w:val="0"/>
          <w:bCs w:val="0"/>
          <w:color w:val="auto"/>
          <w:highlight w:val="none"/>
          <w:lang w:val="en-US" w:eastAsia="zh-CN"/>
        </w:rPr>
        <w:t>本项目内的设备</w:t>
      </w:r>
      <w:r>
        <w:rPr>
          <w:rFonts w:hint="eastAsia"/>
          <w:b w:val="0"/>
          <w:bCs w:val="0"/>
          <w:color w:val="auto"/>
          <w:highlight w:val="none"/>
          <w:lang w:eastAsia="zh-CN"/>
        </w:rPr>
        <w:t>进行设备检修</w:t>
      </w:r>
      <w:r>
        <w:rPr>
          <w:rFonts w:hint="eastAsia"/>
          <w:b w:val="0"/>
          <w:bCs w:val="0"/>
          <w:color w:val="auto"/>
          <w:highlight w:val="none"/>
          <w:lang w:val="en-US" w:eastAsia="zh-CN"/>
        </w:rPr>
        <w:t>，降低故障率。</w:t>
      </w:r>
    </w:p>
    <w:p w14:paraId="0A69F4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rFonts w:hint="eastAsia"/>
          <w:color w:val="auto"/>
          <w:highlight w:val="none"/>
          <w:lang w:val="en-US" w:eastAsia="zh-CN"/>
        </w:rPr>
        <w:t>中标人须保证合同期内所有设备满足采购人的正常使用需求，</w:t>
      </w:r>
    </w:p>
    <w:p w14:paraId="0B04F36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rFonts w:hint="eastAsia"/>
          <w:color w:val="auto"/>
          <w:highlight w:val="none"/>
          <w:lang w:val="en-US" w:eastAsia="zh-CN"/>
        </w:rPr>
        <w:t>中标人必须保证监控系统顺畅稳定。各监控点视频信号在线率不低于98%，故障申报15分钟内响应，1小时到达故障现场处理故障，4小时内修复故障。</w:t>
      </w:r>
      <w:r>
        <w:rPr>
          <w:color w:val="auto"/>
          <w:highlight w:val="none"/>
        </w:rPr>
        <w:t>故障处理产生的所有费用均由</w:t>
      </w:r>
      <w:r>
        <w:rPr>
          <w:rFonts w:hint="eastAsia"/>
          <w:color w:val="auto"/>
          <w:highlight w:val="none"/>
          <w:lang w:eastAsia="zh-CN"/>
        </w:rPr>
        <w:t>中标人</w:t>
      </w:r>
      <w:r>
        <w:rPr>
          <w:color w:val="auto"/>
          <w:highlight w:val="none"/>
        </w:rPr>
        <w:t>承担</w:t>
      </w:r>
      <w:r>
        <w:rPr>
          <w:rFonts w:hint="eastAsia"/>
          <w:color w:val="auto"/>
          <w:highlight w:val="none"/>
          <w:lang w:eastAsia="zh-CN"/>
        </w:rPr>
        <w:t>。</w:t>
      </w:r>
    </w:p>
    <w:p w14:paraId="4D8BE61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color w:val="auto"/>
          <w:highlight w:val="none"/>
          <w:u w:val="none"/>
        </w:rPr>
      </w:pPr>
      <w:r>
        <w:rPr>
          <w:color w:val="auto"/>
          <w:sz w:val="21"/>
          <w:highlight w:val="none"/>
          <w:u w:val="none"/>
        </w:rPr>
        <w:t>对于不能明确是否是硬件出现故障时，中标人应尽力配合相关人员进行检查，并能在上述响应时间内到达现场协助排除问题</w:t>
      </w:r>
      <w:r>
        <w:rPr>
          <w:rFonts w:hint="eastAsia"/>
          <w:color w:val="auto"/>
          <w:sz w:val="21"/>
          <w:highlight w:val="none"/>
          <w:u w:val="none"/>
          <w:lang w:eastAsia="zh-CN"/>
        </w:rPr>
        <w:t>，</w:t>
      </w:r>
      <w:r>
        <w:rPr>
          <w:color w:val="auto"/>
          <w:sz w:val="21"/>
          <w:highlight w:val="none"/>
          <w:u w:val="none"/>
        </w:rPr>
        <w:t>直到问题故障解决为止</w:t>
      </w:r>
      <w:r>
        <w:rPr>
          <w:rFonts w:hint="eastAsia"/>
          <w:color w:val="auto"/>
          <w:sz w:val="21"/>
          <w:highlight w:val="none"/>
          <w:u w:val="none"/>
          <w:lang w:val="en-US" w:eastAsia="zh-CN"/>
        </w:rPr>
        <w:t>。</w:t>
      </w:r>
    </w:p>
    <w:p w14:paraId="116545C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color w:val="auto"/>
          <w:highlight w:val="none"/>
          <w:lang w:eastAsia="zh-CN"/>
        </w:rPr>
      </w:pPr>
      <w:r>
        <w:rPr>
          <w:rFonts w:hint="eastAsia"/>
          <w:color w:val="auto"/>
          <w:highlight w:val="none"/>
          <w:lang w:eastAsia="zh-CN"/>
        </w:rPr>
        <w:t>为确保</w:t>
      </w:r>
      <w:r>
        <w:rPr>
          <w:rFonts w:hint="eastAsia"/>
          <w:color w:val="auto"/>
          <w:highlight w:val="none"/>
          <w:lang w:val="en-US" w:eastAsia="zh-CN"/>
        </w:rPr>
        <w:t>本项目</w:t>
      </w:r>
      <w:r>
        <w:rPr>
          <w:rFonts w:hint="eastAsia"/>
          <w:color w:val="auto"/>
          <w:highlight w:val="none"/>
          <w:lang w:eastAsia="zh-CN"/>
        </w:rPr>
        <w:t>故障高效解决，中标人应根据项目特点提供充足的备品备件产品，费用由中标人承担。</w:t>
      </w:r>
    </w:p>
    <w:p w14:paraId="294DD56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color w:val="auto"/>
          <w:highlight w:val="none"/>
        </w:rPr>
      </w:pPr>
      <w:r>
        <w:rPr>
          <w:rFonts w:hint="eastAsia"/>
          <w:color w:val="auto"/>
          <w:sz w:val="21"/>
          <w:szCs w:val="21"/>
          <w:highlight w:val="none"/>
          <w:lang w:val="en-US" w:eastAsia="zh-CN"/>
        </w:rPr>
        <w:t>中标人须按采购人要求，对</w:t>
      </w:r>
      <w:r>
        <w:rPr>
          <w:color w:val="auto"/>
          <w:sz w:val="21"/>
          <w:highlight w:val="none"/>
        </w:rPr>
        <w:t>常用软件故障排除及恢复、病毒防范及消除。硬盘垃圾清理、电脑外设安装调试、系统安装调试与维护、应急系统恢复及日常维护等</w:t>
      </w:r>
      <w:r>
        <w:rPr>
          <w:rFonts w:hint="eastAsia"/>
          <w:color w:val="auto"/>
          <w:sz w:val="21"/>
          <w:highlight w:val="none"/>
          <w:lang w:eastAsia="zh-CN"/>
        </w:rPr>
        <w:t>。</w:t>
      </w:r>
    </w:p>
    <w:p w14:paraId="7863B07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color w:val="auto"/>
          <w:highlight w:val="none"/>
        </w:rPr>
      </w:pPr>
      <w:r>
        <w:rPr>
          <w:rFonts w:hint="eastAsia"/>
          <w:color w:val="auto"/>
          <w:highlight w:val="none"/>
          <w:lang w:eastAsia="zh-CN"/>
        </w:rPr>
        <w:t>中标人</w:t>
      </w:r>
      <w:r>
        <w:rPr>
          <w:rFonts w:hint="eastAsia"/>
          <w:color w:val="auto"/>
          <w:highlight w:val="none"/>
          <w:lang w:val="en-US" w:eastAsia="zh-CN"/>
        </w:rPr>
        <w:t>须</w:t>
      </w:r>
      <w:r>
        <w:rPr>
          <w:color w:val="auto"/>
          <w:highlight w:val="none"/>
        </w:rPr>
        <w:t>制定应急预案，明确责任人和应急小组，建立应急响应流程和备用设备，以确保在系统故障或其他突发情况下能迅速响应并恢复正常运行</w:t>
      </w:r>
      <w:r>
        <w:rPr>
          <w:rFonts w:hint="eastAsia"/>
          <w:color w:val="auto"/>
          <w:highlight w:val="none"/>
          <w:lang w:val="en-US" w:eastAsia="zh-CN"/>
        </w:rPr>
        <w:t>。</w:t>
      </w:r>
    </w:p>
    <w:p w14:paraId="65E7EE2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color w:val="auto"/>
          <w:highlight w:val="none"/>
        </w:rPr>
        <w:t>每月故障</w:t>
      </w:r>
      <w:r>
        <w:rPr>
          <w:rFonts w:hint="eastAsia"/>
          <w:color w:val="auto"/>
          <w:highlight w:val="none"/>
          <w:lang w:val="en-US" w:eastAsia="zh-CN"/>
        </w:rPr>
        <w:t>未</w:t>
      </w:r>
      <w:r>
        <w:rPr>
          <w:color w:val="auto"/>
          <w:highlight w:val="none"/>
        </w:rPr>
        <w:t>及时响应和修复达到</w:t>
      </w:r>
      <w:r>
        <w:rPr>
          <w:rFonts w:hint="eastAsia"/>
          <w:color w:val="auto"/>
          <w:highlight w:val="none"/>
          <w:lang w:val="en-US" w:eastAsia="zh-CN"/>
        </w:rPr>
        <w:t>3</w:t>
      </w:r>
      <w:r>
        <w:rPr>
          <w:color w:val="auto"/>
          <w:highlight w:val="none"/>
        </w:rPr>
        <w:t>次及以上</w:t>
      </w:r>
      <w:r>
        <w:rPr>
          <w:rFonts w:hint="eastAsia"/>
          <w:color w:val="auto"/>
          <w:highlight w:val="none"/>
          <w:lang w:val="en-US" w:eastAsia="zh-CN"/>
        </w:rPr>
        <w:t>且未合理解释的</w:t>
      </w:r>
      <w:r>
        <w:rPr>
          <w:color w:val="auto"/>
          <w:highlight w:val="none"/>
        </w:rPr>
        <w:t>，</w:t>
      </w:r>
      <w:r>
        <w:rPr>
          <w:rFonts w:hint="eastAsia"/>
          <w:color w:val="auto"/>
          <w:highlight w:val="none"/>
          <w:lang w:val="en-US" w:eastAsia="zh-CN"/>
        </w:rPr>
        <w:t>视为中标人违约，</w:t>
      </w:r>
      <w:r>
        <w:rPr>
          <w:color w:val="auto"/>
          <w:highlight w:val="none"/>
        </w:rPr>
        <w:t>采购人有权视情况提前终止合同</w:t>
      </w:r>
      <w:r>
        <w:rPr>
          <w:rFonts w:hint="eastAsia"/>
          <w:color w:val="auto"/>
          <w:highlight w:val="none"/>
          <w:lang w:eastAsia="zh-CN"/>
        </w:rPr>
        <w:t>。</w:t>
      </w:r>
    </w:p>
    <w:p w14:paraId="54FD649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rFonts w:hint="eastAsia"/>
          <w:color w:val="auto"/>
          <w:highlight w:val="none"/>
          <w:lang w:eastAsia="zh-CN"/>
        </w:rPr>
        <w:t>中标人</w:t>
      </w:r>
      <w:r>
        <w:rPr>
          <w:rFonts w:hint="eastAsia"/>
          <w:color w:val="auto"/>
          <w:highlight w:val="none"/>
          <w:lang w:val="en-US" w:eastAsia="zh-CN"/>
        </w:rPr>
        <w:t>应按采购人要求，</w:t>
      </w:r>
      <w:r>
        <w:rPr>
          <w:color w:val="auto"/>
          <w:highlight w:val="none"/>
        </w:rPr>
        <w:t>协助完成网络安全整改工作。</w:t>
      </w:r>
    </w:p>
    <w:p w14:paraId="3B8FE408">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rFonts w:hint="eastAsia"/>
          <w:color w:val="auto"/>
          <w:highlight w:val="none"/>
          <w:lang w:eastAsia="zh-CN"/>
        </w:rPr>
        <w:t>中标人定期</w:t>
      </w:r>
      <w:r>
        <w:rPr>
          <w:color w:val="auto"/>
          <w:highlight w:val="none"/>
        </w:rPr>
        <w:t>组织培训：根据</w:t>
      </w:r>
      <w:r>
        <w:rPr>
          <w:rFonts w:hint="eastAsia"/>
          <w:color w:val="auto"/>
          <w:highlight w:val="none"/>
          <w:lang w:val="en-US" w:eastAsia="zh-CN"/>
        </w:rPr>
        <w:t>采购人</w:t>
      </w:r>
      <w:r>
        <w:rPr>
          <w:color w:val="auto"/>
          <w:highlight w:val="none"/>
        </w:rPr>
        <w:t>的实际需求，提供至少</w:t>
      </w:r>
      <w:r>
        <w:rPr>
          <w:rFonts w:hint="eastAsia"/>
          <w:color w:val="auto"/>
          <w:highlight w:val="none"/>
          <w:lang w:val="en-US" w:eastAsia="zh-CN"/>
        </w:rPr>
        <w:t>2次</w:t>
      </w:r>
      <w:r>
        <w:rPr>
          <w:color w:val="auto"/>
          <w:highlight w:val="none"/>
        </w:rPr>
        <w:t>的主要设备或系统的原厂认证或相当规格的专业培训</w:t>
      </w:r>
      <w:r>
        <w:rPr>
          <w:rFonts w:hint="eastAsia"/>
          <w:color w:val="auto"/>
          <w:highlight w:val="none"/>
          <w:lang w:eastAsia="zh-CN"/>
        </w:rPr>
        <w:t>。</w:t>
      </w:r>
    </w:p>
    <w:p w14:paraId="10D2D26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0" w:firstLineChars="0"/>
        <w:textAlignment w:val="auto"/>
        <w:rPr>
          <w:rFonts w:hint="eastAsia" w:eastAsia="宋体"/>
          <w:color w:val="auto"/>
          <w:highlight w:val="none"/>
          <w:lang w:val="en-US" w:eastAsia="zh-CN"/>
        </w:rPr>
      </w:pPr>
      <w:r>
        <w:rPr>
          <w:color w:val="auto"/>
          <w:highlight w:val="none"/>
        </w:rPr>
        <w:t>根据采购人在重大安保活动时的实际工作要求，</w:t>
      </w:r>
      <w:r>
        <w:rPr>
          <w:rFonts w:hint="eastAsia"/>
          <w:color w:val="auto"/>
          <w:highlight w:val="none"/>
          <w:lang w:eastAsia="zh-CN"/>
        </w:rPr>
        <w:t>中标人</w:t>
      </w:r>
      <w:r>
        <w:rPr>
          <w:rFonts w:hint="eastAsia"/>
          <w:color w:val="auto"/>
          <w:highlight w:val="none"/>
          <w:lang w:val="en-US" w:eastAsia="zh-CN"/>
        </w:rPr>
        <w:t>须</w:t>
      </w:r>
      <w:r>
        <w:rPr>
          <w:color w:val="auto"/>
          <w:highlight w:val="none"/>
        </w:rPr>
        <w:t>增派人员到现场提供技术支撑</w:t>
      </w:r>
      <w:r>
        <w:rPr>
          <w:rFonts w:hint="eastAsia"/>
          <w:color w:val="auto"/>
          <w:highlight w:val="none"/>
          <w:lang w:eastAsia="zh-CN"/>
        </w:rPr>
        <w:t>。</w:t>
      </w:r>
    </w:p>
    <w:p w14:paraId="2228BC89">
      <w:pPr>
        <w:spacing w:line="360" w:lineRule="auto"/>
        <w:rPr>
          <w:b/>
          <w:color w:val="auto"/>
          <w:sz w:val="24"/>
          <w:szCs w:val="24"/>
          <w:highlight w:val="none"/>
        </w:rPr>
      </w:pPr>
      <w:r>
        <w:rPr>
          <w:b/>
          <w:color w:val="auto"/>
          <w:sz w:val="24"/>
          <w:szCs w:val="24"/>
          <w:highlight w:val="none"/>
        </w:rPr>
        <w:br w:type="page"/>
      </w:r>
    </w:p>
    <w:p w14:paraId="19FB93B0">
      <w:pPr>
        <w:bidi w:val="0"/>
        <w:jc w:val="center"/>
        <w:rPr>
          <w:b/>
          <w:bCs/>
          <w:color w:val="auto"/>
          <w:highlight w:val="none"/>
        </w:rPr>
      </w:pPr>
      <w:r>
        <w:rPr>
          <w:b/>
          <w:bCs/>
          <w:color w:val="auto"/>
          <w:highlight w:val="none"/>
        </w:rPr>
        <w:t>采购包1</w:t>
      </w:r>
    </w:p>
    <w:p w14:paraId="459A2958">
      <w:pPr>
        <w:pStyle w:val="2"/>
        <w:keepNext/>
        <w:keepLines/>
        <w:pageBreakBefore w:val="0"/>
        <w:widowControl w:val="0"/>
        <w:kinsoku/>
        <w:wordWrap/>
        <w:overflowPunct/>
        <w:topLinePunct w:val="0"/>
        <w:autoSpaceDE/>
        <w:autoSpaceDN/>
        <w:bidi w:val="0"/>
        <w:adjustRightInd/>
        <w:snapToGrid/>
        <w:spacing w:line="360" w:lineRule="auto"/>
        <w:textAlignment w:val="auto"/>
        <w:rPr>
          <w:b/>
          <w:color w:val="auto"/>
          <w:sz w:val="24"/>
          <w:szCs w:val="24"/>
          <w:highlight w:val="none"/>
        </w:rPr>
      </w:pPr>
      <w:r>
        <w:rPr>
          <w:b/>
          <w:color w:val="auto"/>
          <w:sz w:val="24"/>
          <w:szCs w:val="24"/>
          <w:highlight w:val="none"/>
        </w:rPr>
        <w:t>采购包1</w:t>
      </w:r>
      <w:r>
        <w:rPr>
          <w:rFonts w:hint="eastAsia"/>
          <w:b/>
          <w:color w:val="auto"/>
          <w:sz w:val="24"/>
          <w:szCs w:val="24"/>
          <w:highlight w:val="none"/>
          <w:lang w:eastAsia="zh-CN"/>
        </w:rPr>
        <w:t>：</w:t>
      </w:r>
      <w:r>
        <w:rPr>
          <w:b/>
          <w:color w:val="auto"/>
          <w:sz w:val="24"/>
          <w:szCs w:val="24"/>
          <w:highlight w:val="none"/>
        </w:rPr>
        <w:t>（</w:t>
      </w:r>
      <w:r>
        <w:rPr>
          <w:rFonts w:hint="eastAsia"/>
          <w:b/>
          <w:color w:val="auto"/>
          <w:sz w:val="24"/>
          <w:szCs w:val="24"/>
          <w:highlight w:val="none"/>
          <w:lang w:val="en-US" w:eastAsia="zh-CN"/>
        </w:rPr>
        <w:t>2024年视频监控项目——一期设备升级及运维和光纤线路租赁及数据存储项目</w:t>
      </w:r>
      <w:r>
        <w:rPr>
          <w:b/>
          <w:color w:val="auto"/>
          <w:sz w:val="24"/>
          <w:szCs w:val="24"/>
          <w:highlight w:val="none"/>
        </w:rPr>
        <w:t>）</w:t>
      </w:r>
    </w:p>
    <w:p w14:paraId="27431A11">
      <w:pPr>
        <w:pStyle w:val="11"/>
        <w:outlineLvl w:val="2"/>
        <w:rPr>
          <w:b/>
          <w:color w:val="auto"/>
          <w:sz w:val="24"/>
          <w:szCs w:val="24"/>
          <w:highlight w:val="none"/>
        </w:rPr>
      </w:pPr>
      <w:r>
        <w:rPr>
          <w:b/>
          <w:color w:val="auto"/>
          <w:sz w:val="24"/>
          <w:szCs w:val="24"/>
          <w:highlight w:val="none"/>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8318"/>
      </w:tblGrid>
      <w:tr w14:paraId="40955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 w:hRule="atLeast"/>
        </w:trPr>
        <w:tc>
          <w:tcPr>
            <w:tcW w:w="1155" w:type="dxa"/>
          </w:tcPr>
          <w:p w14:paraId="5DBC0E84">
            <w:pPr>
              <w:pStyle w:val="11"/>
              <w:rPr>
                <w:color w:val="auto"/>
                <w:highlight w:val="none"/>
              </w:rPr>
            </w:pPr>
            <w:r>
              <w:rPr>
                <w:color w:val="auto"/>
                <w:highlight w:val="none"/>
              </w:rPr>
              <w:t>标的提供的时间</w:t>
            </w:r>
          </w:p>
        </w:tc>
        <w:tc>
          <w:tcPr>
            <w:tcW w:w="8318" w:type="dxa"/>
          </w:tcPr>
          <w:p w14:paraId="6300C9FD">
            <w:pPr>
              <w:numPr>
                <w:ilvl w:val="0"/>
                <w:numId w:val="0"/>
              </w:numPr>
              <w:snapToGrid w:val="0"/>
              <w:spacing w:line="360" w:lineRule="auto"/>
              <w:ind w:firstLine="420" w:firstLineChars="200"/>
              <w:rPr>
                <w:color w:val="auto"/>
                <w:highlight w:val="none"/>
              </w:rPr>
            </w:pPr>
            <w:r>
              <w:rPr>
                <w:rFonts w:hint="eastAsia" w:ascii="宋体" w:hAnsi="宋体" w:cs="宋体"/>
                <w:color w:val="auto"/>
                <w:kern w:val="0"/>
                <w:sz w:val="21"/>
                <w:szCs w:val="21"/>
                <w:highlight w:val="none"/>
                <w:lang w:val="en-US" w:eastAsia="zh-CN"/>
              </w:rPr>
              <w:t>合同生效之日起，中标人开始负责本项目光纤线路租赁和数据存储工作的正常运行。同时，中标人按采购人要求开展设备</w:t>
            </w:r>
            <w:r>
              <w:rPr>
                <w:rFonts w:hint="eastAsia"/>
                <w:color w:val="auto"/>
                <w:highlight w:val="none"/>
                <w:lang w:val="en-US" w:eastAsia="zh-CN"/>
              </w:rPr>
              <w:t>升级改造工作，且须在合同生效之日起60个自然日内完成</w:t>
            </w:r>
            <w:r>
              <w:rPr>
                <w:rFonts w:hint="eastAsia" w:ascii="宋体" w:hAnsi="宋体" w:cs="宋体"/>
                <w:color w:val="auto"/>
                <w:kern w:val="0"/>
                <w:sz w:val="21"/>
                <w:szCs w:val="21"/>
                <w:highlight w:val="none"/>
                <w:lang w:val="en-US" w:eastAsia="zh-CN"/>
              </w:rPr>
              <w:t>设备</w:t>
            </w:r>
            <w:r>
              <w:rPr>
                <w:rFonts w:hint="eastAsia"/>
                <w:color w:val="auto"/>
                <w:highlight w:val="none"/>
                <w:lang w:val="en-US" w:eastAsia="zh-CN"/>
              </w:rPr>
              <w:t>升级改造工作，完成后进入试运行期1个月，试运行结束后组织验收，自综合验收通过之日起进入24个月运维期</w:t>
            </w:r>
            <w:r>
              <w:rPr>
                <w:rFonts w:hint="eastAsia" w:ascii="宋体" w:hAnsi="宋体" w:eastAsia="宋体" w:cs="宋体"/>
                <w:color w:val="auto"/>
                <w:kern w:val="0"/>
                <w:sz w:val="21"/>
                <w:szCs w:val="21"/>
                <w:highlight w:val="none"/>
              </w:rPr>
              <w:t>。</w:t>
            </w:r>
          </w:p>
        </w:tc>
      </w:tr>
      <w:tr w14:paraId="24C86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3AC496C0">
            <w:pPr>
              <w:pStyle w:val="11"/>
              <w:rPr>
                <w:color w:val="auto"/>
                <w:highlight w:val="none"/>
              </w:rPr>
            </w:pPr>
            <w:r>
              <w:rPr>
                <w:color w:val="auto"/>
                <w:highlight w:val="none"/>
              </w:rPr>
              <w:t>标的提供的地点</w:t>
            </w:r>
          </w:p>
        </w:tc>
        <w:tc>
          <w:tcPr>
            <w:tcW w:w="8318" w:type="dxa"/>
          </w:tcPr>
          <w:p w14:paraId="0ADE57C7">
            <w:pPr>
              <w:pStyle w:val="11"/>
              <w:rPr>
                <w:color w:val="auto"/>
                <w:highlight w:val="none"/>
              </w:rPr>
            </w:pPr>
            <w:r>
              <w:rPr>
                <w:color w:val="auto"/>
                <w:highlight w:val="none"/>
              </w:rPr>
              <w:t>采购人指定地点。</w:t>
            </w:r>
          </w:p>
        </w:tc>
      </w:tr>
      <w:tr w14:paraId="6DA11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71BB59C4">
            <w:pPr>
              <w:pStyle w:val="11"/>
              <w:rPr>
                <w:color w:val="auto"/>
                <w:highlight w:val="none"/>
              </w:rPr>
            </w:pPr>
            <w:r>
              <w:rPr>
                <w:color w:val="auto"/>
                <w:highlight w:val="none"/>
              </w:rPr>
              <w:t>付款方式</w:t>
            </w:r>
          </w:p>
        </w:tc>
        <w:tc>
          <w:tcPr>
            <w:tcW w:w="8318" w:type="dxa"/>
          </w:tcPr>
          <w:p w14:paraId="4D13E17F">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1期：支付比例100%,</w:t>
            </w:r>
          </w:p>
          <w:p w14:paraId="0476FAA6">
            <w:pPr>
              <w:pStyle w:val="11"/>
              <w:keepNext w:val="0"/>
              <w:keepLines w:val="0"/>
              <w:pageBreakBefore w:val="0"/>
              <w:widowControl/>
              <w:numPr>
                <w:ilvl w:val="0"/>
                <w:numId w:val="13"/>
              </w:numP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本项目自进入24个月运维期之日起，</w:t>
            </w:r>
            <w:r>
              <w:rPr>
                <w:rFonts w:hint="eastAsia"/>
                <w:color w:val="auto"/>
                <w:highlight w:val="none"/>
              </w:rPr>
              <w:t>按月支付</w:t>
            </w:r>
            <w:r>
              <w:rPr>
                <w:rFonts w:hint="eastAsia"/>
                <w:color w:val="auto"/>
                <w:highlight w:val="none"/>
                <w:lang w:val="en-US" w:eastAsia="zh-CN"/>
              </w:rPr>
              <w:t>合同款（每月支付金额=合同价/24个月）</w:t>
            </w:r>
            <w:r>
              <w:rPr>
                <w:rFonts w:hint="eastAsia"/>
                <w:color w:val="auto"/>
                <w:highlight w:val="none"/>
                <w:lang w:eastAsia="zh-CN"/>
              </w:rPr>
              <w:t>。中标人</w:t>
            </w:r>
            <w:r>
              <w:rPr>
                <w:rFonts w:hint="eastAsia"/>
                <w:color w:val="auto"/>
                <w:highlight w:val="none"/>
              </w:rPr>
              <w:t>开具同等金额的税务发票，采购人于次月向财政部门申请支付该</w:t>
            </w:r>
            <w:r>
              <w:rPr>
                <w:rFonts w:hint="eastAsia"/>
                <w:color w:val="auto"/>
                <w:highlight w:val="none"/>
                <w:lang w:eastAsia="zh-CN"/>
              </w:rPr>
              <w:t>月</w:t>
            </w:r>
            <w:r>
              <w:rPr>
                <w:rFonts w:hint="eastAsia"/>
                <w:color w:val="auto"/>
                <w:highlight w:val="none"/>
              </w:rPr>
              <w:t>的费</w:t>
            </w:r>
            <w:r>
              <w:rPr>
                <w:rFonts w:hint="eastAsia"/>
                <w:color w:val="auto"/>
                <w:highlight w:val="none"/>
                <w:lang w:val="en-US" w:eastAsia="zh-CN"/>
              </w:rPr>
              <w:t>用</w:t>
            </w:r>
            <w:r>
              <w:rPr>
                <w:rFonts w:hint="eastAsia"/>
                <w:color w:val="auto"/>
                <w:highlight w:val="none"/>
              </w:rPr>
              <w:t xml:space="preserve">。 </w:t>
            </w:r>
          </w:p>
          <w:p w14:paraId="226E4ACE">
            <w:pPr>
              <w:pStyle w:val="11"/>
              <w:spacing w:line="360" w:lineRule="auto"/>
              <w:rPr>
                <w:color w:val="auto"/>
                <w:highlight w:val="none"/>
              </w:rPr>
            </w:pPr>
            <w:r>
              <w:rPr>
                <w:rFonts w:hint="eastAsia"/>
                <w:color w:val="auto"/>
                <w:highlight w:val="none"/>
              </w:rPr>
              <w:t>注：</w:t>
            </w:r>
            <w:r>
              <w:rPr>
                <w:color w:val="auto"/>
                <w:highlight w:val="none"/>
              </w:rPr>
              <w:t>因采购人使用的资金为财政资金，采购</w:t>
            </w:r>
            <w:r>
              <w:rPr>
                <w:rFonts w:hint="eastAsia"/>
                <w:color w:val="auto"/>
                <w:highlight w:val="none"/>
                <w:lang w:val="en-US" w:eastAsia="zh-CN"/>
              </w:rPr>
              <w:t>人</w:t>
            </w:r>
            <w:r>
              <w:rPr>
                <w:color w:val="auto"/>
                <w:highlight w:val="none"/>
              </w:rPr>
              <w:t>支付部门提出办理财政支付申请手续的时间（不含政府财政支付部门审核的时间），在规定时间内提出支付申请手续后，不视为逾期支付。</w:t>
            </w:r>
            <w:r>
              <w:rPr>
                <w:rFonts w:hint="eastAsia"/>
                <w:color w:val="auto"/>
                <w:highlight w:val="none"/>
              </w:rPr>
              <w:t xml:space="preserve"> </w:t>
            </w:r>
          </w:p>
          <w:p w14:paraId="6D9967E3">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如项目发生合同融资，采购人应当将合同款项支付到合同约定收款账户。</w:t>
            </w:r>
          </w:p>
        </w:tc>
      </w:tr>
      <w:tr w14:paraId="7CF6C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228F467E">
            <w:pPr>
              <w:pStyle w:val="11"/>
              <w:rPr>
                <w:color w:val="auto"/>
                <w:highlight w:val="none"/>
              </w:rPr>
            </w:pPr>
            <w:r>
              <w:rPr>
                <w:color w:val="auto"/>
                <w:highlight w:val="none"/>
              </w:rPr>
              <w:t>验收要求</w:t>
            </w:r>
          </w:p>
        </w:tc>
        <w:tc>
          <w:tcPr>
            <w:tcW w:w="8318" w:type="dxa"/>
          </w:tcPr>
          <w:p w14:paraId="7A80126B">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w:t>
            </w:r>
            <w:r>
              <w:rPr>
                <w:color w:val="auto"/>
                <w:sz w:val="21"/>
                <w:highlight w:val="none"/>
              </w:rPr>
              <w:t>1</w:t>
            </w:r>
            <w:r>
              <w:rPr>
                <w:color w:val="auto"/>
                <w:highlight w:val="none"/>
              </w:rPr>
              <w:t>.本项目完成所有</w:t>
            </w:r>
            <w:r>
              <w:rPr>
                <w:rFonts w:hint="eastAsia"/>
                <w:color w:val="auto"/>
                <w:highlight w:val="none"/>
                <w:lang w:val="en-US" w:eastAsia="zh-CN"/>
              </w:rPr>
              <w:t>升级改造</w:t>
            </w:r>
            <w:r>
              <w:rPr>
                <w:color w:val="auto"/>
                <w:highlight w:val="none"/>
              </w:rPr>
              <w:t>设备安装调测后</w:t>
            </w:r>
            <w:r>
              <w:rPr>
                <w:rFonts w:hint="eastAsia"/>
                <w:color w:val="auto"/>
                <w:highlight w:val="none"/>
                <w:lang w:eastAsia="zh-CN"/>
              </w:rPr>
              <w:t>，</w:t>
            </w:r>
            <w:r>
              <w:rPr>
                <w:color w:val="auto"/>
                <w:highlight w:val="none"/>
              </w:rPr>
              <w:t>根据国家以及相关规定，由中标人组织</w:t>
            </w:r>
            <w:r>
              <w:rPr>
                <w:rFonts w:hint="eastAsia"/>
                <w:color w:val="auto"/>
                <w:highlight w:val="none"/>
                <w:lang w:val="en-US" w:eastAsia="zh-CN"/>
              </w:rPr>
              <w:t>相关人员进行</w:t>
            </w:r>
            <w:r>
              <w:rPr>
                <w:color w:val="auto"/>
                <w:highlight w:val="none"/>
              </w:rPr>
              <w:t>内部验收，内部验收合格后进入试运行阶段，试运行</w:t>
            </w:r>
            <w:r>
              <w:rPr>
                <w:rFonts w:hint="eastAsia"/>
                <w:color w:val="auto"/>
                <w:highlight w:val="none"/>
                <w:lang w:val="en-US" w:eastAsia="zh-CN"/>
              </w:rPr>
              <w:t>1</w:t>
            </w:r>
            <w:r>
              <w:rPr>
                <w:color w:val="auto"/>
                <w:highlight w:val="none"/>
              </w:rPr>
              <w:t>个月后，</w:t>
            </w:r>
            <w:r>
              <w:rPr>
                <w:rFonts w:hint="eastAsia"/>
                <w:color w:val="auto"/>
                <w:highlight w:val="none"/>
                <w:lang w:val="en-US" w:eastAsia="zh-CN"/>
              </w:rPr>
              <w:t>采购人</w:t>
            </w:r>
            <w:r>
              <w:rPr>
                <w:color w:val="auto"/>
                <w:highlight w:val="none"/>
              </w:rPr>
              <w:t>组织综合验收。</w:t>
            </w:r>
            <w:r>
              <w:rPr>
                <w:rFonts w:hint="eastAsia"/>
                <w:color w:val="auto"/>
                <w:sz w:val="21"/>
                <w:szCs w:val="21"/>
                <w:highlight w:val="none"/>
                <w:lang w:val="en-US" w:eastAsia="zh-CN"/>
              </w:rPr>
              <w:t>自升级改造综合验收通过后，运维期内</w:t>
            </w:r>
            <w:r>
              <w:rPr>
                <w:rFonts w:hint="eastAsia"/>
                <w:color w:val="auto"/>
                <w:sz w:val="21"/>
                <w:szCs w:val="21"/>
                <w:highlight w:val="none"/>
                <w:lang w:eastAsia="zh-CN"/>
              </w:rPr>
              <w:t>每月进行验收。</w:t>
            </w:r>
            <w:r>
              <w:rPr>
                <w:color w:val="auto"/>
                <w:sz w:val="21"/>
                <w:szCs w:val="21"/>
                <w:highlight w:val="none"/>
              </w:rPr>
              <w:t>中标人</w:t>
            </w:r>
            <w:r>
              <w:rPr>
                <w:rFonts w:hint="eastAsia"/>
                <w:color w:val="auto"/>
                <w:sz w:val="21"/>
                <w:szCs w:val="21"/>
                <w:highlight w:val="none"/>
                <w:u w:val="none"/>
                <w:lang w:val="en-US" w:eastAsia="zh-CN"/>
              </w:rPr>
              <w:t>每月</w:t>
            </w:r>
            <w:r>
              <w:rPr>
                <w:color w:val="auto"/>
                <w:sz w:val="21"/>
                <w:szCs w:val="21"/>
                <w:highlight w:val="none"/>
              </w:rPr>
              <w:t>提供</w:t>
            </w:r>
            <w:r>
              <w:rPr>
                <w:rFonts w:hint="eastAsia"/>
                <w:color w:val="auto"/>
                <w:sz w:val="21"/>
                <w:szCs w:val="21"/>
                <w:highlight w:val="none"/>
                <w:lang w:val="en-US" w:eastAsia="zh-CN"/>
              </w:rPr>
              <w:t>一次</w:t>
            </w:r>
            <w:r>
              <w:rPr>
                <w:color w:val="auto"/>
                <w:sz w:val="21"/>
                <w:szCs w:val="21"/>
                <w:highlight w:val="none"/>
              </w:rPr>
              <w:t>工作报告</w:t>
            </w:r>
            <w:r>
              <w:rPr>
                <w:rFonts w:hint="eastAsia"/>
                <w:color w:val="auto"/>
                <w:sz w:val="21"/>
                <w:szCs w:val="21"/>
                <w:highlight w:val="none"/>
                <w:lang w:eastAsia="zh-CN"/>
              </w:rPr>
              <w:t>，</w:t>
            </w:r>
            <w:r>
              <w:rPr>
                <w:color w:val="auto"/>
                <w:sz w:val="21"/>
                <w:szCs w:val="21"/>
                <w:highlight w:val="none"/>
              </w:rPr>
              <w:t>每月第一个工作周，将上月抢修、维护保养</w:t>
            </w:r>
            <w:r>
              <w:rPr>
                <w:rFonts w:hint="eastAsia"/>
                <w:color w:val="auto"/>
                <w:sz w:val="21"/>
                <w:szCs w:val="21"/>
                <w:highlight w:val="none"/>
                <w:lang w:eastAsia="zh-CN"/>
              </w:rPr>
              <w:t>、</w:t>
            </w:r>
            <w:r>
              <w:rPr>
                <w:rFonts w:hint="eastAsia"/>
                <w:color w:val="auto"/>
                <w:sz w:val="21"/>
                <w:szCs w:val="21"/>
                <w:highlight w:val="none"/>
                <w:lang w:val="en-US" w:eastAsia="zh-CN"/>
              </w:rPr>
              <w:t>故障排队等</w:t>
            </w:r>
            <w:r>
              <w:rPr>
                <w:color w:val="auto"/>
                <w:sz w:val="21"/>
                <w:szCs w:val="21"/>
                <w:highlight w:val="none"/>
              </w:rPr>
              <w:t>记录</w:t>
            </w:r>
            <w:r>
              <w:rPr>
                <w:rFonts w:hint="eastAsia"/>
                <w:color w:val="auto"/>
                <w:sz w:val="21"/>
                <w:szCs w:val="21"/>
                <w:highlight w:val="none"/>
                <w:lang w:val="en-US" w:eastAsia="zh-CN"/>
              </w:rPr>
              <w:t>整理汇编（电子档和纸质版），形成工作台账，和请款资料一并递交</w:t>
            </w:r>
            <w:r>
              <w:rPr>
                <w:rFonts w:hint="eastAsia"/>
                <w:color w:val="auto"/>
                <w:sz w:val="21"/>
                <w:szCs w:val="21"/>
                <w:highlight w:val="none"/>
                <w:u w:val="none"/>
                <w:lang w:val="en-US" w:eastAsia="zh-CN"/>
              </w:rPr>
              <w:t>采购人，如采购人出现资料不齐且未能按要求及时补正，采购人有权不支付合同款。</w:t>
            </w:r>
          </w:p>
          <w:p w14:paraId="15DFBB50">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2.验收计划及程序</w:t>
            </w:r>
          </w:p>
          <w:p w14:paraId="63E33D41">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2.1内部验收：</w:t>
            </w:r>
          </w:p>
          <w:p w14:paraId="2675EBF4">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2.1.1中标人根据合同、招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要求，检查项目完成情况后</w:t>
            </w:r>
            <w:r>
              <w:rPr>
                <w:rFonts w:hint="eastAsia"/>
                <w:color w:val="auto"/>
                <w:highlight w:val="none"/>
                <w:lang w:eastAsia="zh-CN"/>
              </w:rPr>
              <w:t>，</w:t>
            </w:r>
            <w:r>
              <w:rPr>
                <w:color w:val="auto"/>
                <w:highlight w:val="none"/>
              </w:rPr>
              <w:t>向采购人提出验收申请。</w:t>
            </w:r>
          </w:p>
          <w:p w14:paraId="064CD055">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2.1.2中标人提供验收材料：验收申请、完工报告、项目总结，以及要求的验收评审资料。</w:t>
            </w:r>
          </w:p>
          <w:p w14:paraId="46557FCD">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2.1.3在符合验收的条件下，采购人组织</w:t>
            </w:r>
            <w:r>
              <w:rPr>
                <w:rFonts w:hint="eastAsia"/>
                <w:color w:val="auto"/>
                <w:highlight w:val="none"/>
                <w:lang w:val="en-US" w:eastAsia="zh-CN"/>
              </w:rPr>
              <w:t>相关</w:t>
            </w:r>
            <w:r>
              <w:rPr>
                <w:color w:val="auto"/>
                <w:highlight w:val="none"/>
              </w:rPr>
              <w:t>专业人员进行验收。</w:t>
            </w:r>
          </w:p>
          <w:p w14:paraId="7FA2AFF7">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2.2试运行：</w:t>
            </w:r>
            <w:r>
              <w:rPr>
                <w:rFonts w:hint="eastAsia"/>
                <w:color w:val="auto"/>
                <w:highlight w:val="none"/>
                <w:lang w:val="en-US" w:eastAsia="zh-CN"/>
              </w:rPr>
              <w:t>设备升级完成后，</w:t>
            </w:r>
            <w:r>
              <w:rPr>
                <w:color w:val="auto"/>
                <w:highlight w:val="none"/>
              </w:rPr>
              <w:t>项目进</w:t>
            </w:r>
            <w:r>
              <w:rPr>
                <w:rFonts w:hint="eastAsia"/>
                <w:color w:val="auto"/>
                <w:highlight w:val="none"/>
                <w:lang w:val="en-US" w:eastAsia="zh-CN"/>
              </w:rPr>
              <w:t>入1</w:t>
            </w:r>
            <w:r>
              <w:rPr>
                <w:color w:val="auto"/>
                <w:highlight w:val="none"/>
              </w:rPr>
              <w:t>个月试运</w:t>
            </w:r>
            <w:r>
              <w:rPr>
                <w:rFonts w:hint="eastAsia"/>
                <w:color w:val="auto"/>
                <w:highlight w:val="none"/>
                <w:lang w:val="en-US" w:eastAsia="zh-CN"/>
              </w:rPr>
              <w:t>行期</w:t>
            </w:r>
            <w:r>
              <w:rPr>
                <w:color w:val="auto"/>
                <w:highlight w:val="none"/>
              </w:rPr>
              <w:t>。</w:t>
            </w:r>
          </w:p>
          <w:p w14:paraId="3B4E790C">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color w:val="auto"/>
                <w:highlight w:val="none"/>
              </w:rPr>
              <w:t>2.3综合验收：试运行</w:t>
            </w:r>
            <w:r>
              <w:rPr>
                <w:rFonts w:hint="eastAsia"/>
                <w:color w:val="auto"/>
                <w:highlight w:val="none"/>
                <w:lang w:val="en-US" w:eastAsia="zh-CN"/>
              </w:rPr>
              <w:t>结束</w:t>
            </w:r>
            <w:r>
              <w:rPr>
                <w:color w:val="auto"/>
                <w:highlight w:val="none"/>
              </w:rPr>
              <w:t>后，采购人根据合同、招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的相关要求，检查项目完成情况，组织综合验收。</w:t>
            </w:r>
            <w:r>
              <w:rPr>
                <w:rFonts w:hint="eastAsia"/>
                <w:color w:val="auto"/>
                <w:highlight w:val="none"/>
                <w:lang w:val="en-US" w:eastAsia="zh-CN"/>
              </w:rPr>
              <w:t>自综合验收合格通过之日起，本项目进入24个月运维期。</w:t>
            </w:r>
          </w:p>
          <w:p w14:paraId="613BDE10">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3.</w:t>
            </w:r>
            <w:r>
              <w:rPr>
                <w:rFonts w:hint="eastAsia"/>
                <w:color w:val="auto"/>
                <w:highlight w:val="none"/>
                <w:lang w:val="en-US" w:eastAsia="zh-CN"/>
              </w:rPr>
              <w:t>中</w:t>
            </w:r>
            <w:r>
              <w:rPr>
                <w:color w:val="auto"/>
                <w:highlight w:val="none"/>
              </w:rPr>
              <w:t>标人应提前考虑可能出现的问题和风险，并提前制定应对措施，若验收不合格应尽快采取整改</w:t>
            </w:r>
            <w:r>
              <w:rPr>
                <w:rFonts w:hint="eastAsia"/>
                <w:color w:val="auto"/>
                <w:highlight w:val="none"/>
                <w:lang w:val="en-US" w:eastAsia="zh-CN"/>
              </w:rPr>
              <w:t>措施</w:t>
            </w:r>
            <w:r>
              <w:rPr>
                <w:color w:val="auto"/>
                <w:highlight w:val="none"/>
              </w:rPr>
              <w:t>调整</w:t>
            </w:r>
            <w:r>
              <w:rPr>
                <w:rFonts w:hint="eastAsia"/>
                <w:color w:val="auto"/>
                <w:highlight w:val="none"/>
                <w:lang w:eastAsia="zh-CN"/>
              </w:rPr>
              <w:t>，</w:t>
            </w:r>
            <w:r>
              <w:rPr>
                <w:color w:val="auto"/>
                <w:highlight w:val="none"/>
              </w:rPr>
              <w:t>以能达到通过验收标准。</w:t>
            </w:r>
          </w:p>
        </w:tc>
      </w:tr>
      <w:tr w14:paraId="7A7F2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1B54087E">
            <w:pPr>
              <w:pStyle w:val="11"/>
              <w:rPr>
                <w:color w:val="auto"/>
                <w:highlight w:val="none"/>
              </w:rPr>
            </w:pPr>
            <w:r>
              <w:rPr>
                <w:color w:val="auto"/>
                <w:highlight w:val="none"/>
              </w:rPr>
              <w:t>履约保证金</w:t>
            </w:r>
          </w:p>
        </w:tc>
        <w:tc>
          <w:tcPr>
            <w:tcW w:w="8318" w:type="dxa"/>
          </w:tcPr>
          <w:p w14:paraId="3AB99E4F">
            <w:pPr>
              <w:pStyle w:val="11"/>
              <w:rPr>
                <w:color w:val="auto"/>
                <w:highlight w:val="none"/>
              </w:rPr>
            </w:pPr>
            <w:r>
              <w:rPr>
                <w:color w:val="auto"/>
                <w:highlight w:val="none"/>
              </w:rPr>
              <w:t>不收取</w:t>
            </w:r>
          </w:p>
        </w:tc>
      </w:tr>
      <w:tr w14:paraId="56C3E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333454C7">
            <w:pPr>
              <w:pStyle w:val="11"/>
              <w:rPr>
                <w:color w:val="auto"/>
                <w:highlight w:val="none"/>
              </w:rPr>
            </w:pPr>
            <w:r>
              <w:rPr>
                <w:color w:val="auto"/>
                <w:highlight w:val="none"/>
              </w:rPr>
              <w:t>其他</w:t>
            </w:r>
          </w:p>
        </w:tc>
        <w:tc>
          <w:tcPr>
            <w:tcW w:w="8318" w:type="dxa"/>
          </w:tcPr>
          <w:p w14:paraId="40218EC2">
            <w:pPr>
              <w:pStyle w:val="11"/>
              <w:numPr>
                <w:ilvl w:val="-1"/>
                <w:numId w:val="0"/>
              </w:numPr>
              <w:ind w:left="0" w:leftChars="0" w:firstLine="420" w:firstLineChars="0"/>
              <w:jc w:val="both"/>
              <w:rPr>
                <w:rFonts w:hint="eastAsia" w:eastAsia="宋体"/>
                <w:color w:val="auto"/>
                <w:highlight w:val="none"/>
                <w:lang w:val="en-US" w:eastAsia="zh-CN"/>
              </w:rPr>
            </w:pPr>
            <w:r>
              <w:rPr>
                <w:rFonts w:hint="eastAsia"/>
                <w:color w:val="auto"/>
                <w:highlight w:val="none"/>
                <w:lang w:val="en-US" w:eastAsia="zh-CN"/>
              </w:rPr>
              <w:t>/</w:t>
            </w:r>
          </w:p>
        </w:tc>
      </w:tr>
    </w:tbl>
    <w:p w14:paraId="52DA8D1F">
      <w:pPr>
        <w:pStyle w:val="11"/>
        <w:outlineLvl w:val="2"/>
        <w:rPr>
          <w:b/>
          <w:color w:val="auto"/>
          <w:sz w:val="24"/>
          <w:szCs w:val="24"/>
          <w:highlight w:val="none"/>
        </w:rPr>
      </w:pPr>
      <w:r>
        <w:rPr>
          <w:b/>
          <w:color w:val="auto"/>
          <w:sz w:val="24"/>
          <w:szCs w:val="24"/>
          <w:highlight w:val="none"/>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832"/>
        <w:gridCol w:w="1225"/>
        <w:gridCol w:w="516"/>
        <w:gridCol w:w="670"/>
        <w:gridCol w:w="1656"/>
        <w:gridCol w:w="1787"/>
        <w:gridCol w:w="1429"/>
        <w:gridCol w:w="866"/>
      </w:tblGrid>
      <w:tr w14:paraId="0FC59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6" w:hRule="atLeast"/>
        </w:trPr>
        <w:tc>
          <w:tcPr>
            <w:tcW w:w="654" w:type="dxa"/>
          </w:tcPr>
          <w:p w14:paraId="6F063173">
            <w:pPr>
              <w:pStyle w:val="11"/>
              <w:jc w:val="center"/>
              <w:rPr>
                <w:color w:val="auto"/>
                <w:highlight w:val="none"/>
              </w:rPr>
            </w:pPr>
            <w:r>
              <w:rPr>
                <w:color w:val="auto"/>
                <w:highlight w:val="none"/>
              </w:rPr>
              <w:t>序号</w:t>
            </w:r>
          </w:p>
        </w:tc>
        <w:tc>
          <w:tcPr>
            <w:tcW w:w="832" w:type="dxa"/>
          </w:tcPr>
          <w:p w14:paraId="63A84776">
            <w:pPr>
              <w:pStyle w:val="11"/>
              <w:jc w:val="center"/>
              <w:rPr>
                <w:color w:val="auto"/>
                <w:highlight w:val="none"/>
              </w:rPr>
            </w:pPr>
            <w:r>
              <w:rPr>
                <w:color w:val="auto"/>
                <w:highlight w:val="none"/>
              </w:rPr>
              <w:t>品目名称</w:t>
            </w:r>
          </w:p>
        </w:tc>
        <w:tc>
          <w:tcPr>
            <w:tcW w:w="1225" w:type="dxa"/>
          </w:tcPr>
          <w:p w14:paraId="31F4467E">
            <w:pPr>
              <w:pStyle w:val="11"/>
              <w:jc w:val="center"/>
              <w:rPr>
                <w:color w:val="auto"/>
                <w:highlight w:val="none"/>
              </w:rPr>
            </w:pPr>
            <w:r>
              <w:rPr>
                <w:color w:val="auto"/>
                <w:highlight w:val="none"/>
              </w:rPr>
              <w:t>标的名称</w:t>
            </w:r>
          </w:p>
        </w:tc>
        <w:tc>
          <w:tcPr>
            <w:tcW w:w="516" w:type="dxa"/>
          </w:tcPr>
          <w:p w14:paraId="799088B8">
            <w:pPr>
              <w:pStyle w:val="11"/>
              <w:jc w:val="center"/>
              <w:rPr>
                <w:color w:val="auto"/>
                <w:highlight w:val="none"/>
              </w:rPr>
            </w:pPr>
            <w:r>
              <w:rPr>
                <w:color w:val="auto"/>
                <w:highlight w:val="none"/>
              </w:rPr>
              <w:t>单位</w:t>
            </w:r>
          </w:p>
        </w:tc>
        <w:tc>
          <w:tcPr>
            <w:tcW w:w="670" w:type="dxa"/>
          </w:tcPr>
          <w:p w14:paraId="4C9B5B40">
            <w:pPr>
              <w:pStyle w:val="11"/>
              <w:jc w:val="center"/>
              <w:rPr>
                <w:color w:val="auto"/>
                <w:highlight w:val="none"/>
              </w:rPr>
            </w:pPr>
            <w:r>
              <w:rPr>
                <w:color w:val="auto"/>
                <w:highlight w:val="none"/>
              </w:rPr>
              <w:t>数量</w:t>
            </w:r>
          </w:p>
        </w:tc>
        <w:tc>
          <w:tcPr>
            <w:tcW w:w="1656" w:type="dxa"/>
          </w:tcPr>
          <w:p w14:paraId="323216EB">
            <w:pPr>
              <w:pStyle w:val="11"/>
              <w:jc w:val="center"/>
              <w:rPr>
                <w:color w:val="auto"/>
                <w:highlight w:val="none"/>
              </w:rPr>
            </w:pPr>
            <w:r>
              <w:rPr>
                <w:color w:val="auto"/>
                <w:highlight w:val="none"/>
              </w:rPr>
              <w:t>分项预算单价（元）</w:t>
            </w:r>
          </w:p>
        </w:tc>
        <w:tc>
          <w:tcPr>
            <w:tcW w:w="1787" w:type="dxa"/>
          </w:tcPr>
          <w:p w14:paraId="3C3CC04F">
            <w:pPr>
              <w:pStyle w:val="11"/>
              <w:jc w:val="center"/>
              <w:rPr>
                <w:color w:val="auto"/>
                <w:highlight w:val="none"/>
              </w:rPr>
            </w:pPr>
            <w:r>
              <w:rPr>
                <w:color w:val="auto"/>
                <w:highlight w:val="none"/>
              </w:rPr>
              <w:t>分项预算总价（元）</w:t>
            </w:r>
          </w:p>
        </w:tc>
        <w:tc>
          <w:tcPr>
            <w:tcW w:w="1429" w:type="dxa"/>
          </w:tcPr>
          <w:p w14:paraId="10F4F2A2">
            <w:pPr>
              <w:pStyle w:val="11"/>
              <w:rPr>
                <w:color w:val="auto"/>
                <w:highlight w:val="none"/>
              </w:rPr>
            </w:pPr>
            <w:r>
              <w:rPr>
                <w:color w:val="auto"/>
                <w:highlight w:val="none"/>
              </w:rPr>
              <w:t>所属行业</w:t>
            </w:r>
          </w:p>
        </w:tc>
        <w:tc>
          <w:tcPr>
            <w:tcW w:w="866" w:type="dxa"/>
          </w:tcPr>
          <w:p w14:paraId="21F8E474">
            <w:pPr>
              <w:pStyle w:val="11"/>
              <w:jc w:val="center"/>
              <w:rPr>
                <w:color w:val="auto"/>
                <w:highlight w:val="none"/>
              </w:rPr>
            </w:pPr>
            <w:r>
              <w:rPr>
                <w:color w:val="auto"/>
                <w:highlight w:val="none"/>
              </w:rPr>
              <w:t>技术要求</w:t>
            </w:r>
          </w:p>
        </w:tc>
      </w:tr>
      <w:tr w14:paraId="57A92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6" w:hRule="atLeast"/>
        </w:trPr>
        <w:tc>
          <w:tcPr>
            <w:tcW w:w="654" w:type="dxa"/>
            <w:vAlign w:val="center"/>
          </w:tcPr>
          <w:p w14:paraId="18AAFD3E">
            <w:pPr>
              <w:pStyle w:val="11"/>
              <w:jc w:val="center"/>
              <w:rPr>
                <w:color w:val="auto"/>
                <w:highlight w:val="none"/>
              </w:rPr>
            </w:pPr>
            <w:r>
              <w:rPr>
                <w:color w:val="auto"/>
                <w:highlight w:val="none"/>
              </w:rPr>
              <w:t>1</w:t>
            </w:r>
          </w:p>
        </w:tc>
        <w:tc>
          <w:tcPr>
            <w:tcW w:w="832" w:type="dxa"/>
            <w:vAlign w:val="center"/>
          </w:tcPr>
          <w:p w14:paraId="60C61EA7">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25" w:type="dxa"/>
            <w:vAlign w:val="center"/>
          </w:tcPr>
          <w:p w14:paraId="4B9103FB">
            <w:pPr>
              <w:pStyle w:val="11"/>
              <w:jc w:val="left"/>
              <w:rPr>
                <w:rFonts w:hint="eastAsia"/>
                <w:color w:val="auto"/>
                <w:highlight w:val="none"/>
                <w:lang w:eastAsia="zh-CN"/>
              </w:rPr>
            </w:pPr>
            <w:r>
              <w:rPr>
                <w:rFonts w:hint="eastAsia"/>
                <w:color w:val="auto"/>
                <w:highlight w:val="none"/>
                <w:lang w:val="en-US" w:eastAsia="zh-CN"/>
              </w:rPr>
              <w:t>一期设备升级及运维</w:t>
            </w:r>
          </w:p>
        </w:tc>
        <w:tc>
          <w:tcPr>
            <w:tcW w:w="516" w:type="dxa"/>
            <w:vAlign w:val="center"/>
          </w:tcPr>
          <w:p w14:paraId="6DDDF852">
            <w:pPr>
              <w:pStyle w:val="11"/>
              <w:jc w:val="center"/>
              <w:rPr>
                <w:color w:val="auto"/>
                <w:highlight w:val="none"/>
              </w:rPr>
            </w:pPr>
            <w:r>
              <w:rPr>
                <w:color w:val="auto"/>
                <w:highlight w:val="none"/>
              </w:rPr>
              <w:t>项</w:t>
            </w:r>
          </w:p>
        </w:tc>
        <w:tc>
          <w:tcPr>
            <w:tcW w:w="670" w:type="dxa"/>
            <w:vAlign w:val="center"/>
          </w:tcPr>
          <w:p w14:paraId="3379AB37">
            <w:pPr>
              <w:pStyle w:val="11"/>
              <w:jc w:val="center"/>
              <w:rPr>
                <w:color w:val="auto"/>
                <w:highlight w:val="none"/>
              </w:rPr>
            </w:pPr>
            <w:r>
              <w:rPr>
                <w:color w:val="auto"/>
                <w:highlight w:val="none"/>
              </w:rPr>
              <w:t>1.00</w:t>
            </w:r>
          </w:p>
        </w:tc>
        <w:tc>
          <w:tcPr>
            <w:tcW w:w="1656" w:type="dxa"/>
            <w:vAlign w:val="center"/>
          </w:tcPr>
          <w:p w14:paraId="0162D7AB">
            <w:pPr>
              <w:pStyle w:val="11"/>
              <w:jc w:val="center"/>
              <w:rPr>
                <w:rFonts w:hint="eastAsia"/>
                <w:color w:val="auto"/>
                <w:highlight w:val="none"/>
                <w:lang w:val="en-US" w:eastAsia="zh-CN"/>
              </w:rPr>
            </w:pPr>
            <w:r>
              <w:rPr>
                <w:rFonts w:hint="eastAsia"/>
                <w:color w:val="auto"/>
                <w:highlight w:val="none"/>
                <w:lang w:val="en-US" w:eastAsia="zh-CN"/>
              </w:rPr>
              <w:t>1490400.00元</w:t>
            </w:r>
          </w:p>
        </w:tc>
        <w:tc>
          <w:tcPr>
            <w:tcW w:w="1787" w:type="dxa"/>
            <w:vAlign w:val="center"/>
          </w:tcPr>
          <w:p w14:paraId="54158567">
            <w:pPr>
              <w:pStyle w:val="11"/>
              <w:jc w:val="center"/>
              <w:rPr>
                <w:rFonts w:hint="eastAsia"/>
                <w:color w:val="auto"/>
                <w:highlight w:val="none"/>
                <w:lang w:val="en-US" w:eastAsia="zh-CN"/>
              </w:rPr>
            </w:pPr>
            <w:r>
              <w:rPr>
                <w:rFonts w:hint="eastAsia"/>
                <w:color w:val="auto"/>
                <w:highlight w:val="none"/>
                <w:lang w:val="en-US" w:eastAsia="zh-CN"/>
              </w:rPr>
              <w:t>1490400.00元</w:t>
            </w:r>
          </w:p>
        </w:tc>
        <w:tc>
          <w:tcPr>
            <w:tcW w:w="1429" w:type="dxa"/>
            <w:vAlign w:val="center"/>
          </w:tcPr>
          <w:p w14:paraId="4B9C6E33">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66" w:type="dxa"/>
            <w:vAlign w:val="center"/>
          </w:tcPr>
          <w:p w14:paraId="4828A6F9">
            <w:pPr>
              <w:pStyle w:val="11"/>
              <w:jc w:val="left"/>
              <w:rPr>
                <w:rFonts w:hint="eastAsia"/>
                <w:color w:val="auto"/>
                <w:highlight w:val="none"/>
                <w:lang w:val="en-US" w:eastAsia="zh-CN"/>
              </w:rPr>
            </w:pPr>
            <w:r>
              <w:rPr>
                <w:rFonts w:hint="eastAsia"/>
                <w:color w:val="auto"/>
                <w:highlight w:val="none"/>
                <w:lang w:val="en-US" w:eastAsia="zh-CN"/>
              </w:rPr>
              <w:t>详见附表一</w:t>
            </w:r>
          </w:p>
        </w:tc>
      </w:tr>
      <w:tr w14:paraId="47805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2" w:hRule="atLeast"/>
        </w:trPr>
        <w:tc>
          <w:tcPr>
            <w:tcW w:w="654" w:type="dxa"/>
            <w:vAlign w:val="center"/>
          </w:tcPr>
          <w:p w14:paraId="3E7081DC">
            <w:pPr>
              <w:pStyle w:val="11"/>
              <w:jc w:val="center"/>
              <w:rPr>
                <w:rFonts w:hint="default" w:eastAsia="宋体"/>
                <w:color w:val="auto"/>
                <w:highlight w:val="none"/>
                <w:lang w:val="en-US" w:eastAsia="zh-CN"/>
              </w:rPr>
            </w:pPr>
            <w:r>
              <w:rPr>
                <w:rFonts w:hint="eastAsia"/>
                <w:color w:val="auto"/>
                <w:highlight w:val="none"/>
                <w:lang w:val="en-US" w:eastAsia="zh-CN"/>
              </w:rPr>
              <w:t>2</w:t>
            </w:r>
          </w:p>
        </w:tc>
        <w:tc>
          <w:tcPr>
            <w:tcW w:w="832" w:type="dxa"/>
            <w:vAlign w:val="center"/>
          </w:tcPr>
          <w:p w14:paraId="1CFB9BE2">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25" w:type="dxa"/>
            <w:vAlign w:val="center"/>
          </w:tcPr>
          <w:p w14:paraId="0B24B60C">
            <w:pPr>
              <w:pStyle w:val="11"/>
              <w:jc w:val="left"/>
              <w:rPr>
                <w:rFonts w:hint="eastAsia"/>
                <w:color w:val="auto"/>
                <w:highlight w:val="none"/>
                <w:lang w:eastAsia="zh-CN"/>
              </w:rPr>
            </w:pPr>
            <w:r>
              <w:rPr>
                <w:rFonts w:hint="eastAsia"/>
                <w:color w:val="auto"/>
                <w:highlight w:val="none"/>
                <w:lang w:val="en-US" w:eastAsia="zh-CN"/>
              </w:rPr>
              <w:t>光纤线路租赁及数据存储项目</w:t>
            </w:r>
          </w:p>
        </w:tc>
        <w:tc>
          <w:tcPr>
            <w:tcW w:w="516" w:type="dxa"/>
            <w:vAlign w:val="center"/>
          </w:tcPr>
          <w:p w14:paraId="6674B782">
            <w:pPr>
              <w:pStyle w:val="11"/>
              <w:jc w:val="center"/>
              <w:rPr>
                <w:color w:val="auto"/>
                <w:highlight w:val="none"/>
              </w:rPr>
            </w:pPr>
            <w:r>
              <w:rPr>
                <w:color w:val="auto"/>
                <w:highlight w:val="none"/>
              </w:rPr>
              <w:t>项</w:t>
            </w:r>
          </w:p>
        </w:tc>
        <w:tc>
          <w:tcPr>
            <w:tcW w:w="670" w:type="dxa"/>
            <w:vAlign w:val="center"/>
          </w:tcPr>
          <w:p w14:paraId="75704D96">
            <w:pPr>
              <w:pStyle w:val="11"/>
              <w:jc w:val="center"/>
              <w:rPr>
                <w:color w:val="auto"/>
                <w:highlight w:val="none"/>
              </w:rPr>
            </w:pPr>
            <w:r>
              <w:rPr>
                <w:color w:val="auto"/>
                <w:highlight w:val="none"/>
              </w:rPr>
              <w:t>1.00</w:t>
            </w:r>
          </w:p>
        </w:tc>
        <w:tc>
          <w:tcPr>
            <w:tcW w:w="1656" w:type="dxa"/>
            <w:vAlign w:val="center"/>
          </w:tcPr>
          <w:p w14:paraId="0829F155">
            <w:pPr>
              <w:pStyle w:val="11"/>
              <w:jc w:val="center"/>
              <w:rPr>
                <w:rFonts w:hint="eastAsia"/>
                <w:color w:val="auto"/>
                <w:highlight w:val="none"/>
                <w:lang w:val="en-US" w:eastAsia="zh-CN"/>
              </w:rPr>
            </w:pPr>
            <w:r>
              <w:rPr>
                <w:rFonts w:hint="eastAsia"/>
                <w:color w:val="auto"/>
                <w:highlight w:val="none"/>
                <w:lang w:val="en-US" w:eastAsia="zh-CN"/>
              </w:rPr>
              <w:t>1048800.00元</w:t>
            </w:r>
          </w:p>
        </w:tc>
        <w:tc>
          <w:tcPr>
            <w:tcW w:w="1787" w:type="dxa"/>
            <w:vAlign w:val="center"/>
          </w:tcPr>
          <w:p w14:paraId="0C84C351">
            <w:pPr>
              <w:pStyle w:val="11"/>
              <w:jc w:val="center"/>
              <w:rPr>
                <w:rFonts w:hint="eastAsia"/>
                <w:color w:val="auto"/>
                <w:highlight w:val="none"/>
                <w:lang w:val="en-US" w:eastAsia="zh-CN"/>
              </w:rPr>
            </w:pPr>
            <w:r>
              <w:rPr>
                <w:rFonts w:hint="eastAsia"/>
                <w:color w:val="auto"/>
                <w:highlight w:val="none"/>
                <w:lang w:val="en-US" w:eastAsia="zh-CN"/>
              </w:rPr>
              <w:t>1048800.00元</w:t>
            </w:r>
          </w:p>
        </w:tc>
        <w:tc>
          <w:tcPr>
            <w:tcW w:w="1429" w:type="dxa"/>
            <w:vAlign w:val="center"/>
          </w:tcPr>
          <w:p w14:paraId="25E966AA">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66" w:type="dxa"/>
            <w:vAlign w:val="center"/>
          </w:tcPr>
          <w:p w14:paraId="133DAE3B">
            <w:pPr>
              <w:pStyle w:val="11"/>
              <w:jc w:val="left"/>
              <w:rPr>
                <w:rFonts w:hint="eastAsia"/>
                <w:color w:val="auto"/>
                <w:highlight w:val="none"/>
                <w:lang w:val="en-US" w:eastAsia="zh-CN"/>
              </w:rPr>
            </w:pPr>
            <w:r>
              <w:rPr>
                <w:rFonts w:hint="eastAsia"/>
                <w:color w:val="auto"/>
                <w:highlight w:val="none"/>
                <w:lang w:val="en-US" w:eastAsia="zh-CN"/>
              </w:rPr>
              <w:t>详见附表一</w:t>
            </w:r>
          </w:p>
        </w:tc>
      </w:tr>
    </w:tbl>
    <w:p w14:paraId="193CF91D">
      <w:pPr>
        <w:pStyle w:val="11"/>
        <w:outlineLvl w:val="2"/>
        <w:rPr>
          <w:rFonts w:hint="eastAsia"/>
          <w:b/>
          <w:color w:val="auto"/>
          <w:highlight w:val="none"/>
          <w:lang w:eastAsia="zh-CN"/>
        </w:rPr>
      </w:pPr>
      <w:r>
        <w:rPr>
          <w:b/>
          <w:color w:val="auto"/>
          <w:highlight w:val="none"/>
        </w:rPr>
        <w:t>附表一：</w:t>
      </w:r>
      <w:r>
        <w:rPr>
          <w:rFonts w:hint="eastAsia"/>
          <w:b/>
          <w:color w:val="auto"/>
          <w:highlight w:val="none"/>
          <w:lang w:val="en-US" w:eastAsia="zh-CN"/>
        </w:rPr>
        <w:t>2024年视频监控项目——一期设备运维及升级和光纤线路租赁及数据存储项目</w:t>
      </w:r>
    </w:p>
    <w:tbl>
      <w:tblPr>
        <w:tblStyle w:val="8"/>
        <w:tblW w:w="501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4"/>
        <w:gridCol w:w="486"/>
        <w:gridCol w:w="8668"/>
      </w:tblGrid>
      <w:tr w14:paraId="1C3A0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vAlign w:val="center"/>
          </w:tcPr>
          <w:p w14:paraId="28165096">
            <w:pPr>
              <w:pStyle w:val="11"/>
              <w:jc w:val="center"/>
              <w:rPr>
                <w:b/>
                <w:bCs/>
                <w:color w:val="auto"/>
                <w:highlight w:val="none"/>
              </w:rPr>
            </w:pPr>
            <w:r>
              <w:rPr>
                <w:b/>
                <w:bCs/>
                <w:color w:val="auto"/>
                <w:highlight w:val="none"/>
              </w:rPr>
              <w:t>参数性质</w:t>
            </w:r>
          </w:p>
        </w:tc>
        <w:tc>
          <w:tcPr>
            <w:tcW w:w="243" w:type="pct"/>
            <w:vAlign w:val="center"/>
          </w:tcPr>
          <w:p w14:paraId="5244D494">
            <w:pPr>
              <w:pStyle w:val="11"/>
              <w:jc w:val="center"/>
              <w:rPr>
                <w:b/>
                <w:bCs/>
                <w:color w:val="auto"/>
                <w:highlight w:val="none"/>
              </w:rPr>
            </w:pPr>
            <w:r>
              <w:rPr>
                <w:b/>
                <w:bCs/>
                <w:color w:val="auto"/>
                <w:highlight w:val="none"/>
              </w:rPr>
              <w:t>序号</w:t>
            </w:r>
          </w:p>
        </w:tc>
        <w:tc>
          <w:tcPr>
            <w:tcW w:w="4333" w:type="pct"/>
            <w:vAlign w:val="center"/>
          </w:tcPr>
          <w:p w14:paraId="5A32B543">
            <w:pPr>
              <w:pStyle w:val="11"/>
              <w:jc w:val="center"/>
              <w:rPr>
                <w:b/>
                <w:bCs/>
                <w:color w:val="auto"/>
                <w:highlight w:val="none"/>
              </w:rPr>
            </w:pPr>
            <w:r>
              <w:rPr>
                <w:b/>
                <w:bCs/>
                <w:color w:val="auto"/>
                <w:highlight w:val="none"/>
              </w:rPr>
              <w:t>具体技术(参数)要求</w:t>
            </w:r>
          </w:p>
        </w:tc>
      </w:tr>
      <w:tr w14:paraId="3D816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5" w:hRule="atLeast"/>
        </w:trPr>
        <w:tc>
          <w:tcPr>
            <w:tcW w:w="422" w:type="pct"/>
          </w:tcPr>
          <w:p w14:paraId="33AE6BE6">
            <w:pPr>
              <w:rPr>
                <w:color w:val="auto"/>
                <w:highlight w:val="none"/>
              </w:rPr>
            </w:pPr>
          </w:p>
        </w:tc>
        <w:tc>
          <w:tcPr>
            <w:tcW w:w="243" w:type="pct"/>
          </w:tcPr>
          <w:p w14:paraId="16C8D368">
            <w:pPr>
              <w:pStyle w:val="11"/>
              <w:jc w:val="center"/>
              <w:rPr>
                <w:color w:val="auto"/>
                <w:highlight w:val="none"/>
              </w:rPr>
            </w:pPr>
            <w:r>
              <w:rPr>
                <w:color w:val="auto"/>
                <w:highlight w:val="none"/>
              </w:rPr>
              <w:t>1</w:t>
            </w:r>
          </w:p>
        </w:tc>
        <w:tc>
          <w:tcPr>
            <w:tcW w:w="4333" w:type="pct"/>
          </w:tcPr>
          <w:p w14:paraId="093A291E">
            <w:pPr>
              <w:pStyle w:val="11"/>
              <w:numPr>
                <w:ilvl w:val="0"/>
                <w:numId w:val="14"/>
              </w:numPr>
              <w:jc w:val="both"/>
              <w:rPr>
                <w:rFonts w:hint="eastAsia" w:ascii="宋体" w:hAnsi="宋体" w:eastAsia="宋体" w:cs="宋体"/>
                <w:b/>
                <w:bCs/>
                <w:color w:val="auto"/>
                <w:sz w:val="21"/>
                <w:szCs w:val="21"/>
                <w:highlight w:val="none"/>
                <w:shd w:val="clear" w:color="auto" w:fill="FFFFFF"/>
                <w:lang w:eastAsia="zh-CN"/>
              </w:rPr>
            </w:pPr>
            <w:r>
              <w:rPr>
                <w:rFonts w:hint="eastAsia" w:ascii="宋体" w:hAnsi="宋体" w:eastAsia="宋体" w:cs="宋体"/>
                <w:b/>
                <w:bCs/>
                <w:color w:val="auto"/>
                <w:sz w:val="21"/>
                <w:szCs w:val="21"/>
                <w:highlight w:val="none"/>
                <w:shd w:val="clear" w:color="auto" w:fill="FFFFFF"/>
                <w:lang w:eastAsia="zh-CN"/>
              </w:rPr>
              <w:t>项目</w:t>
            </w:r>
            <w:r>
              <w:rPr>
                <w:rFonts w:hint="eastAsia" w:ascii="宋体" w:hAnsi="宋体" w:cs="宋体"/>
                <w:b/>
                <w:bCs/>
                <w:color w:val="auto"/>
                <w:sz w:val="21"/>
                <w:szCs w:val="21"/>
                <w:highlight w:val="none"/>
                <w:shd w:val="clear" w:color="auto" w:fill="FFFFFF"/>
                <w:lang w:val="en-US" w:eastAsia="zh-CN"/>
              </w:rPr>
              <w:t>内容</w:t>
            </w:r>
          </w:p>
          <w:p w14:paraId="09609AF2">
            <w:pPr>
              <w:pStyle w:val="11"/>
              <w:numPr>
                <w:ilvl w:val="0"/>
                <w:numId w:val="0"/>
              </w:numPr>
              <w:ind w:firstLine="420" w:firstLineChars="200"/>
              <w:jc w:val="both"/>
              <w:rPr>
                <w:rFonts w:hint="eastAsia" w:ascii="宋体" w:hAnsi="宋体" w:eastAsia="宋体" w:cs="宋体"/>
                <w:color w:val="auto"/>
                <w:sz w:val="24"/>
                <w:highlight w:val="none"/>
                <w:shd w:val="clear" w:color="auto" w:fill="FFFFFF"/>
                <w:lang w:val="en-US" w:eastAsia="zh-CN"/>
              </w:rPr>
            </w:pPr>
            <w:r>
              <w:rPr>
                <w:rFonts w:hint="eastAsia"/>
                <w:color w:val="auto"/>
                <w:sz w:val="21"/>
                <w:szCs w:val="21"/>
                <w:highlight w:val="none"/>
                <w:lang w:val="en-US" w:eastAsia="zh-CN"/>
              </w:rPr>
              <w:t>一期设备升级及运维服务:115个点位，光纤线路租赁及数据存储服务:</w:t>
            </w:r>
            <w:r>
              <w:rPr>
                <w:rFonts w:hint="eastAsia"/>
                <w:color w:val="auto"/>
                <w:sz w:val="21"/>
                <w:szCs w:val="21"/>
                <w:highlight w:val="none"/>
                <w:lang w:val="en-US" w:eastAsia="zh-CN"/>
              </w:rPr>
              <w:t>115个点位。</w:t>
            </w:r>
            <w:r>
              <w:rPr>
                <w:rFonts w:hint="eastAsia"/>
                <w:b/>
                <w:bCs/>
                <w:color w:val="auto"/>
                <w:highlight w:val="none"/>
                <w:lang w:eastAsia="zh-CN"/>
              </w:rPr>
              <w:t>点位表</w:t>
            </w:r>
            <w:r>
              <w:rPr>
                <w:rFonts w:hint="eastAsia"/>
                <w:b/>
                <w:bCs/>
                <w:color w:val="auto"/>
                <w:highlight w:val="none"/>
                <w:lang w:val="en-US" w:eastAsia="zh-CN"/>
              </w:rPr>
              <w:t>详见</w:t>
            </w:r>
            <w:r>
              <w:rPr>
                <w:rFonts w:hint="eastAsia"/>
                <w:b/>
                <w:bCs/>
                <w:color w:val="auto"/>
                <w:highlight w:val="none"/>
                <w:lang w:val="en-US" w:eastAsia="zh-CN"/>
              </w:rPr>
              <w:t>附件，具体以采购人实际指定为准。</w:t>
            </w:r>
          </w:p>
        </w:tc>
      </w:tr>
      <w:tr w14:paraId="74B5C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77" w:hRule="exact"/>
        </w:trPr>
        <w:tc>
          <w:tcPr>
            <w:tcW w:w="422" w:type="pct"/>
          </w:tcPr>
          <w:p w14:paraId="22B9A806">
            <w:pPr>
              <w:rPr>
                <w:color w:val="auto"/>
                <w:highlight w:val="none"/>
              </w:rPr>
            </w:pPr>
          </w:p>
        </w:tc>
        <w:tc>
          <w:tcPr>
            <w:tcW w:w="243" w:type="pct"/>
          </w:tcPr>
          <w:p w14:paraId="268068F2">
            <w:pPr>
              <w:pStyle w:val="11"/>
              <w:jc w:val="center"/>
              <w:rPr>
                <w:rFonts w:hint="eastAsia" w:eastAsia="宋体"/>
                <w:color w:val="auto"/>
                <w:highlight w:val="none"/>
                <w:lang w:val="en-US" w:eastAsia="zh-CN"/>
              </w:rPr>
            </w:pPr>
            <w:r>
              <w:rPr>
                <w:rFonts w:hint="eastAsia"/>
                <w:color w:val="auto"/>
                <w:highlight w:val="none"/>
                <w:lang w:val="en-US" w:eastAsia="zh-CN"/>
              </w:rPr>
              <w:t>2</w:t>
            </w:r>
          </w:p>
        </w:tc>
        <w:tc>
          <w:tcPr>
            <w:tcW w:w="4333" w:type="pct"/>
          </w:tcPr>
          <w:p w14:paraId="3D57FD10">
            <w:pPr>
              <w:pStyle w:val="11"/>
              <w:numPr>
                <w:ilvl w:val="0"/>
                <w:numId w:val="15"/>
              </w:numPr>
              <w:jc w:val="both"/>
              <w:rPr>
                <w:color w:val="auto"/>
                <w:sz w:val="21"/>
                <w:highlight w:val="none"/>
              </w:rPr>
            </w:pPr>
            <w:r>
              <w:rPr>
                <w:rFonts w:hint="eastAsia"/>
                <w:b/>
                <w:color w:val="auto"/>
                <w:sz w:val="21"/>
                <w:highlight w:val="none"/>
                <w:lang w:eastAsia="zh-CN"/>
              </w:rPr>
              <w:t>设备升级改造清单</w:t>
            </w:r>
            <w:r>
              <w:rPr>
                <w:b/>
                <w:color w:val="auto"/>
                <w:sz w:val="21"/>
                <w:highlight w:val="none"/>
              </w:rPr>
              <w:t>及其参数要求</w:t>
            </w:r>
          </w:p>
          <w:p w14:paraId="31EF12A7">
            <w:pPr>
              <w:pStyle w:val="11"/>
              <w:numPr>
                <w:ilvl w:val="0"/>
                <w:numId w:val="0"/>
              </w:numPr>
              <w:ind w:firstLine="420" w:firstLineChars="200"/>
              <w:jc w:val="both"/>
              <w:rPr>
                <w:color w:val="auto"/>
                <w:sz w:val="21"/>
                <w:highlight w:val="none"/>
              </w:rPr>
            </w:pPr>
            <w:r>
              <w:rPr>
                <w:color w:val="auto"/>
                <w:sz w:val="21"/>
                <w:highlight w:val="none"/>
              </w:rPr>
              <w:t>本系统的建设坚持“技术上先进，使用上实用，经济上合理”的原则。为确保系统的实用性、可靠性，所选用的设备应符合相关的国家标准和行业标准。并根据项目功能要求，系统建设的设备的技术参数均应不低于以下技术指标要求。</w:t>
            </w:r>
          </w:p>
          <w:p w14:paraId="420C6CEB">
            <w:pPr>
              <w:pStyle w:val="11"/>
              <w:jc w:val="both"/>
              <w:rPr>
                <w:rFonts w:hint="default" w:eastAsia="宋体"/>
                <w:color w:val="auto"/>
                <w:sz w:val="21"/>
                <w:highlight w:val="none"/>
                <w:lang w:val="en-US" w:eastAsia="zh-CN"/>
              </w:rPr>
            </w:pPr>
            <w:r>
              <w:rPr>
                <w:rFonts w:hint="eastAsia"/>
                <w:color w:val="auto"/>
                <w:sz w:val="21"/>
                <w:highlight w:val="none"/>
                <w:lang w:val="en-US" w:eastAsia="zh-CN"/>
              </w:rPr>
              <w:t>1、设备升级改造清单</w:t>
            </w:r>
          </w:p>
          <w:tbl>
            <w:tblPr>
              <w:tblStyle w:val="8"/>
              <w:tblW w:w="735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4"/>
              <w:gridCol w:w="3420"/>
              <w:gridCol w:w="1061"/>
              <w:gridCol w:w="1673"/>
            </w:tblGrid>
            <w:tr w14:paraId="6589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CA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序号</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BB6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663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单位</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36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数量</w:t>
                  </w:r>
                </w:p>
              </w:tc>
            </w:tr>
            <w:tr w14:paraId="6E08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75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8878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AI结构化球机</w:t>
                  </w:r>
                  <w:r>
                    <w:rPr>
                      <w:rFonts w:hint="eastAsia" w:ascii="宋体" w:hAnsi="宋体" w:cs="宋体"/>
                      <w:i w:val="0"/>
                      <w:iCs w:val="0"/>
                      <w:color w:val="auto"/>
                      <w:kern w:val="0"/>
                      <w:sz w:val="21"/>
                      <w:szCs w:val="21"/>
                      <w:highlight w:val="none"/>
                      <w:u w:val="none"/>
                      <w:lang w:val="en-US" w:eastAsia="zh-CN"/>
                    </w:rPr>
                    <w:t>（每台球机配置不低于512 GB MicroSD卡存储）</w:t>
                  </w:r>
                  <w:r>
                    <w:rPr>
                      <w:rFonts w:hint="eastAsia" w:ascii="宋体" w:hAnsi="宋体" w:cs="宋体"/>
                      <w:i w:val="0"/>
                      <w:iCs w:val="0"/>
                      <w:color w:val="auto"/>
                      <w:kern w:val="0"/>
                      <w:sz w:val="21"/>
                      <w:szCs w:val="21"/>
                      <w:highlight w:val="none"/>
                      <w:u w:val="none"/>
                      <w:lang w:val="en-US" w:eastAsia="zh-CN"/>
                    </w:rPr>
                    <w:t>（含电源及安装支架）</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55C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986B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75.000</w:t>
                  </w:r>
                </w:p>
              </w:tc>
            </w:tr>
            <w:tr w14:paraId="1F2F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CF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4843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AI枪机</w:t>
                  </w:r>
                  <w:r>
                    <w:rPr>
                      <w:rFonts w:hint="eastAsia" w:ascii="宋体" w:hAnsi="宋体" w:cs="宋体"/>
                      <w:i w:val="0"/>
                      <w:iCs w:val="0"/>
                      <w:color w:val="auto"/>
                      <w:kern w:val="0"/>
                      <w:sz w:val="21"/>
                      <w:szCs w:val="21"/>
                      <w:highlight w:val="none"/>
                      <w:u w:val="none"/>
                      <w:lang w:val="en-US" w:eastAsia="zh-CN"/>
                    </w:rPr>
                    <w:t>（每台枪机不低于256</w:t>
                  </w:r>
                  <w:r>
                    <w:rPr>
                      <w:rFonts w:hint="eastAsia"/>
                      <w:color w:val="auto"/>
                      <w:highlight w:val="none"/>
                    </w:rPr>
                    <w:t>GB MicroSD卡存储</w:t>
                  </w:r>
                  <w:r>
                    <w:rPr>
                      <w:rFonts w:hint="eastAsia" w:ascii="宋体" w:hAnsi="宋体" w:cs="宋体"/>
                      <w:i w:val="0"/>
                      <w:iCs w:val="0"/>
                      <w:color w:val="auto"/>
                      <w:kern w:val="0"/>
                      <w:sz w:val="21"/>
                      <w:szCs w:val="21"/>
                      <w:highlight w:val="none"/>
                      <w:u w:val="none"/>
                      <w:lang w:val="en-US" w:eastAsia="zh-CN"/>
                    </w:rPr>
                    <w:t>）（含电源及安装支架）</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208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6100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40.000</w:t>
                  </w:r>
                </w:p>
              </w:tc>
            </w:tr>
            <w:tr w14:paraId="7097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D6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330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磁盘阵列</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3D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6D93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2.000</w:t>
                  </w:r>
                </w:p>
              </w:tc>
            </w:tr>
            <w:tr w14:paraId="1B25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B3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11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存储设备</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54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4161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r>
                    <w:rPr>
                      <w:rFonts w:hint="eastAsia" w:ascii="宋体" w:hAnsi="宋体" w:cs="宋体"/>
                      <w:i w:val="0"/>
                      <w:iCs w:val="0"/>
                      <w:color w:val="auto"/>
                      <w:kern w:val="0"/>
                      <w:sz w:val="21"/>
                      <w:szCs w:val="21"/>
                      <w:highlight w:val="none"/>
                      <w:u w:val="none"/>
                      <w:lang w:val="en-US" w:eastAsia="zh-CN"/>
                    </w:rPr>
                    <w:t>1</w:t>
                  </w:r>
                  <w:r>
                    <w:rPr>
                      <w:rFonts w:hint="eastAsia" w:ascii="宋体" w:hAnsi="宋体" w:eastAsia="宋体" w:cs="宋体"/>
                      <w:i w:val="0"/>
                      <w:iCs w:val="0"/>
                      <w:color w:val="auto"/>
                      <w:kern w:val="0"/>
                      <w:sz w:val="21"/>
                      <w:szCs w:val="21"/>
                      <w:highlight w:val="none"/>
                      <w:u w:val="none"/>
                      <w:lang w:val="en-US" w:eastAsia="zh-CN"/>
                    </w:rPr>
                    <w:t>6.000</w:t>
                  </w:r>
                </w:p>
              </w:tc>
            </w:tr>
            <w:tr w14:paraId="3841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exac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8B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98D8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视频交换器</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371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台/套</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3378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4.000</w:t>
                  </w:r>
                </w:p>
              </w:tc>
            </w:tr>
            <w:tr w14:paraId="6400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exac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50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599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电箱</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E2F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台</w:t>
                  </w:r>
                </w:p>
              </w:tc>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C166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20.000</w:t>
                  </w:r>
                </w:p>
              </w:tc>
            </w:tr>
          </w:tbl>
          <w:p w14:paraId="18433E0F">
            <w:pPr>
              <w:pStyle w:val="11"/>
              <w:jc w:val="both"/>
              <w:rPr>
                <w:rFonts w:hint="eastAsia" w:eastAsia="宋体"/>
                <w:color w:val="auto"/>
                <w:highlight w:val="none"/>
                <w:lang w:eastAsia="zh-CN"/>
              </w:rPr>
            </w:pPr>
          </w:p>
        </w:tc>
      </w:tr>
      <w:tr w14:paraId="25FBF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7211A4F">
            <w:pPr>
              <w:rPr>
                <w:color w:val="auto"/>
                <w:highlight w:val="none"/>
              </w:rPr>
            </w:pPr>
          </w:p>
        </w:tc>
        <w:tc>
          <w:tcPr>
            <w:tcW w:w="243" w:type="pct"/>
          </w:tcPr>
          <w:p w14:paraId="78CAB8F0">
            <w:pPr>
              <w:pStyle w:val="11"/>
              <w:jc w:val="center"/>
              <w:rPr>
                <w:rFonts w:hint="eastAsia"/>
                <w:color w:val="auto"/>
                <w:highlight w:val="none"/>
                <w:lang w:val="en-US" w:eastAsia="zh-CN"/>
              </w:rPr>
            </w:pPr>
          </w:p>
        </w:tc>
        <w:tc>
          <w:tcPr>
            <w:tcW w:w="4333" w:type="pct"/>
          </w:tcPr>
          <w:p w14:paraId="3763A7A2">
            <w:pPr>
              <w:pStyle w:val="11"/>
              <w:jc w:val="both"/>
              <w:rPr>
                <w:rFonts w:hint="default" w:eastAsia="宋体"/>
                <w:b/>
                <w:bCs/>
                <w:color w:val="auto"/>
                <w:highlight w:val="none"/>
                <w:lang w:val="en-US" w:eastAsia="zh-CN"/>
              </w:rPr>
            </w:pPr>
            <w:r>
              <w:rPr>
                <w:rFonts w:hint="eastAsia"/>
                <w:b/>
                <w:bCs/>
                <w:color w:val="auto"/>
                <w:highlight w:val="none"/>
                <w:lang w:val="en-US" w:eastAsia="zh-CN"/>
              </w:rPr>
              <w:t>2、详细技术参数</w:t>
            </w:r>
          </w:p>
          <w:tbl>
            <w:tblPr>
              <w:tblStyle w:val="9"/>
              <w:tblW w:w="8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458"/>
            </w:tblGrid>
            <w:tr w14:paraId="547D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26" w:type="dxa"/>
                </w:tcPr>
                <w:p w14:paraId="59ABC618">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vertAlign w:val="baseline"/>
                      <w:lang w:eastAsia="zh-CN"/>
                    </w:rPr>
                    <w:t>序号</w:t>
                  </w:r>
                </w:p>
              </w:tc>
              <w:tc>
                <w:tcPr>
                  <w:tcW w:w="7458" w:type="dxa"/>
                </w:tcPr>
                <w:p w14:paraId="4DF8951E">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vertAlign w:val="baseline"/>
                      <w:lang w:eastAsia="zh-CN"/>
                    </w:rPr>
                    <w:t>参数要求</w:t>
                  </w:r>
                </w:p>
              </w:tc>
            </w:tr>
            <w:tr w14:paraId="5D1F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26" w:type="dxa"/>
                  <w:vAlign w:val="center"/>
                </w:tcPr>
                <w:p w14:paraId="77124792">
                  <w:pPr>
                    <w:pStyle w:val="11"/>
                    <w:widowControl w:val="0"/>
                    <w:numPr>
                      <w:ilvl w:val="0"/>
                      <w:numId w:val="0"/>
                    </w:numPr>
                    <w:jc w:val="center"/>
                    <w:rPr>
                      <w:rFonts w:hint="eastAsia"/>
                      <w:b/>
                      <w:bCs/>
                      <w:color w:val="auto"/>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rPr>
                    <w:t>AI结构化球机</w:t>
                  </w:r>
                </w:p>
              </w:tc>
              <w:tc>
                <w:tcPr>
                  <w:tcW w:w="7458" w:type="dxa"/>
                </w:tcPr>
                <w:p w14:paraId="3827AE13">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auto"/>
                      <w:kern w:val="0"/>
                      <w:sz w:val="21"/>
                      <w:szCs w:val="21"/>
                      <w:highlight w:val="none"/>
                    </w:rPr>
                  </w:pPr>
                </w:p>
                <w:tbl>
                  <w:tblPr>
                    <w:tblStyle w:val="8"/>
                    <w:tblW w:w="7096" w:type="dxa"/>
                    <w:tblInd w:w="0" w:type="dxa"/>
                    <w:tblLayout w:type="fixed"/>
                    <w:tblCellMar>
                      <w:top w:w="0" w:type="dxa"/>
                      <w:left w:w="108" w:type="dxa"/>
                      <w:bottom w:w="0" w:type="dxa"/>
                      <w:right w:w="108" w:type="dxa"/>
                    </w:tblCellMar>
                  </w:tblPr>
                  <w:tblGrid>
                    <w:gridCol w:w="428"/>
                    <w:gridCol w:w="6668"/>
                  </w:tblGrid>
                  <w:tr w14:paraId="2BEB820F">
                    <w:tblPrEx>
                      <w:tblCellMar>
                        <w:top w:w="0" w:type="dxa"/>
                        <w:left w:w="108" w:type="dxa"/>
                        <w:bottom w:w="0" w:type="dxa"/>
                        <w:right w:w="108" w:type="dxa"/>
                      </w:tblCellMar>
                    </w:tblPrEx>
                    <w:trPr>
                      <w:trHeight w:val="321" w:hRule="atLeast"/>
                    </w:trPr>
                    <w:tc>
                      <w:tcPr>
                        <w:tcW w:w="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E88E3">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668" w:type="dxa"/>
                        <w:tcBorders>
                          <w:top w:val="single" w:color="auto" w:sz="4" w:space="0"/>
                          <w:left w:val="nil"/>
                          <w:bottom w:val="single" w:color="auto" w:sz="4" w:space="0"/>
                          <w:right w:val="single" w:color="auto" w:sz="4" w:space="0"/>
                        </w:tcBorders>
                        <w:shd w:val="clear" w:color="auto" w:fill="auto"/>
                        <w:vAlign w:val="center"/>
                      </w:tcPr>
                      <w:p w14:paraId="6E86294E">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0C1DEC78">
                    <w:tblPrEx>
                      <w:tblCellMar>
                        <w:top w:w="0" w:type="dxa"/>
                        <w:left w:w="108" w:type="dxa"/>
                        <w:bottom w:w="0" w:type="dxa"/>
                        <w:right w:w="108" w:type="dxa"/>
                      </w:tblCellMar>
                    </w:tblPrEx>
                    <w:trPr>
                      <w:trHeight w:val="847"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04E94282">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668" w:type="dxa"/>
                        <w:tcBorders>
                          <w:top w:val="nil"/>
                          <w:left w:val="nil"/>
                          <w:bottom w:val="single" w:color="auto" w:sz="4" w:space="0"/>
                          <w:right w:val="single" w:color="auto" w:sz="4" w:space="0"/>
                        </w:tcBorders>
                        <w:shd w:val="clear" w:color="auto" w:fill="auto"/>
                        <w:vAlign w:val="center"/>
                      </w:tcPr>
                      <w:p w14:paraId="03A92C87">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联动模式下，细节通道和全景通道可进行全结构化抓拍和属性分析；支持全景通道检测到移动目标后，可联动球机进行人脸、人体抓拍，全景检测宽度不小于15米。（需提供公安部检测机构出具的检测报告复印件证明，添加注明招标项目名称的水印，并加盖制造商投标专用章或公章）。</w:t>
                        </w:r>
                      </w:p>
                    </w:tc>
                  </w:tr>
                  <w:tr w14:paraId="4F59DD8B">
                    <w:tblPrEx>
                      <w:tblCellMar>
                        <w:top w:w="0" w:type="dxa"/>
                        <w:left w:w="108" w:type="dxa"/>
                        <w:bottom w:w="0" w:type="dxa"/>
                        <w:right w:w="108" w:type="dxa"/>
                      </w:tblCellMar>
                    </w:tblPrEx>
                    <w:trPr>
                      <w:trHeight w:val="568"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73057E9F">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668" w:type="dxa"/>
                        <w:tcBorders>
                          <w:top w:val="nil"/>
                          <w:left w:val="nil"/>
                          <w:bottom w:val="single" w:color="auto" w:sz="4" w:space="0"/>
                          <w:right w:val="single" w:color="auto" w:sz="4" w:space="0"/>
                        </w:tcBorders>
                        <w:shd w:val="clear" w:color="auto" w:fill="auto"/>
                        <w:vAlign w:val="center"/>
                      </w:tcPr>
                      <w:p w14:paraId="34D7A17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▲设备在进行主从标定后，联动模式下通过 3D标定键在全景视频图像中选择任意一像素点，球机视频图像可将此点像素点移至视频图像中央，全景镜头的 XY 坐标与球机镜头PTZ坐标标定准确率≥99%；（需提供公安部检测机构出具的检测报告复印件证明，添加注明招标项目名称的水印，并加盖制造商投标专用章或公章）。</w:t>
                        </w:r>
                      </w:p>
                    </w:tc>
                  </w:tr>
                  <w:tr w14:paraId="7FCBD373">
                    <w:tblPrEx>
                      <w:tblCellMar>
                        <w:top w:w="0" w:type="dxa"/>
                        <w:left w:w="108" w:type="dxa"/>
                        <w:bottom w:w="0" w:type="dxa"/>
                        <w:right w:w="108" w:type="dxa"/>
                      </w:tblCellMar>
                    </w:tblPrEx>
                    <w:trPr>
                      <w:trHeight w:val="568"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459507BF">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668" w:type="dxa"/>
                        <w:tcBorders>
                          <w:top w:val="nil"/>
                          <w:left w:val="nil"/>
                          <w:bottom w:val="single" w:color="auto" w:sz="4" w:space="0"/>
                          <w:right w:val="single" w:color="auto" w:sz="4" w:space="0"/>
                        </w:tcBorders>
                        <w:shd w:val="clear" w:color="auto" w:fill="auto"/>
                        <w:vAlign w:val="center"/>
                      </w:tcPr>
                      <w:p w14:paraId="0156F39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引导式配置功能，可分为全景通道角度调节、全景联动配置，全景通道混合目标抓拍规则配置、鹰视聚焦配置。（需提供公安部检测机构出具的检测报告复印件证明，添加注明招标项目名称的水印，并加盖制造商投标专用章或公章）。</w:t>
                        </w:r>
                      </w:p>
                    </w:tc>
                  </w:tr>
                  <w:tr w14:paraId="1194E017">
                    <w:tblPrEx>
                      <w:tblCellMar>
                        <w:top w:w="0" w:type="dxa"/>
                        <w:left w:w="108" w:type="dxa"/>
                        <w:bottom w:w="0" w:type="dxa"/>
                        <w:right w:w="108" w:type="dxa"/>
                      </w:tblCellMar>
                    </w:tblPrEx>
                    <w:trPr>
                      <w:trHeight w:val="552"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497BDCB0">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668" w:type="dxa"/>
                        <w:tcBorders>
                          <w:top w:val="nil"/>
                          <w:left w:val="nil"/>
                          <w:bottom w:val="single" w:color="auto" w:sz="4" w:space="0"/>
                          <w:right w:val="single" w:color="auto" w:sz="4" w:space="0"/>
                        </w:tcBorders>
                        <w:shd w:val="clear" w:color="auto" w:fill="auto"/>
                        <w:vAlign w:val="center"/>
                      </w:tcPr>
                      <w:p w14:paraId="2FCE1F5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w:t>
                        </w:r>
                        <w:r>
                          <w:rPr>
                            <w:rFonts w:hint="eastAsia" w:ascii="宋体" w:hAnsi="宋体" w:cs="宋体"/>
                            <w:color w:val="auto"/>
                            <w:kern w:val="0"/>
                            <w:sz w:val="21"/>
                            <w:szCs w:val="21"/>
                            <w:highlight w:val="none"/>
                            <w:lang w:val="en-US" w:eastAsia="zh-CN"/>
                          </w:rPr>
                          <w:t>至少</w:t>
                        </w:r>
                        <w:r>
                          <w:rPr>
                            <w:rFonts w:hint="eastAsia" w:ascii="宋体" w:hAnsi="宋体" w:cs="宋体"/>
                            <w:color w:val="auto"/>
                            <w:kern w:val="0"/>
                            <w:sz w:val="21"/>
                            <w:szCs w:val="21"/>
                            <w:highlight w:val="none"/>
                          </w:rPr>
                          <w:t>具有1个RJ45网络接口</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1个micro sd卡槽、1个麦克风</w:t>
                        </w:r>
                        <w:r>
                          <w:rPr>
                            <w:rFonts w:hint="eastAsia" w:ascii="宋体" w:hAnsi="宋体" w:cs="宋体"/>
                            <w:color w:val="auto"/>
                            <w:kern w:val="0"/>
                            <w:sz w:val="21"/>
                            <w:szCs w:val="21"/>
                            <w:highlight w:val="none"/>
                            <w:lang w:eastAsia="zh-CN"/>
                          </w:rPr>
                          <w:t>。</w:t>
                        </w:r>
                      </w:p>
                    </w:tc>
                  </w:tr>
                  <w:tr w14:paraId="6AE568A0">
                    <w:tblPrEx>
                      <w:tblCellMar>
                        <w:top w:w="0" w:type="dxa"/>
                        <w:left w:w="108" w:type="dxa"/>
                        <w:bottom w:w="0" w:type="dxa"/>
                        <w:right w:w="108" w:type="dxa"/>
                      </w:tblCellMar>
                    </w:tblPrEx>
                    <w:trPr>
                      <w:trHeight w:val="446" w:hRule="atLeast"/>
                    </w:trPr>
                    <w:tc>
                      <w:tcPr>
                        <w:tcW w:w="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14343">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6668" w:type="dxa"/>
                        <w:tcBorders>
                          <w:top w:val="single" w:color="auto" w:sz="4" w:space="0"/>
                          <w:left w:val="nil"/>
                          <w:bottom w:val="single" w:color="auto" w:sz="4" w:space="0"/>
                          <w:right w:val="single" w:color="auto" w:sz="4" w:space="0"/>
                        </w:tcBorders>
                        <w:shd w:val="clear" w:color="auto" w:fill="auto"/>
                        <w:vAlign w:val="center"/>
                      </w:tcPr>
                      <w:p w14:paraId="1C88A5D5">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可输出</w:t>
                        </w:r>
                        <w:r>
                          <w:rPr>
                            <w:rFonts w:hint="eastAsia" w:ascii="宋体" w:hAnsi="宋体" w:cs="宋体"/>
                            <w:color w:val="auto"/>
                            <w:kern w:val="0"/>
                            <w:sz w:val="21"/>
                            <w:szCs w:val="21"/>
                            <w:highlight w:val="none"/>
                            <w:lang w:val="en-US" w:eastAsia="zh-CN"/>
                          </w:rPr>
                          <w:t>两</w:t>
                        </w:r>
                        <w:r>
                          <w:rPr>
                            <w:rFonts w:hint="eastAsia" w:ascii="宋体" w:hAnsi="宋体" w:cs="宋体"/>
                            <w:color w:val="auto"/>
                            <w:kern w:val="0"/>
                            <w:sz w:val="21"/>
                            <w:szCs w:val="21"/>
                            <w:highlight w:val="none"/>
                          </w:rPr>
                          <w:t>路视频图像：全景通道、细节通道。</w:t>
                        </w:r>
                      </w:p>
                    </w:tc>
                  </w:tr>
                  <w:tr w14:paraId="562E609A">
                    <w:tblPrEx>
                      <w:tblCellMar>
                        <w:top w:w="0" w:type="dxa"/>
                        <w:left w:w="108" w:type="dxa"/>
                        <w:bottom w:w="0" w:type="dxa"/>
                        <w:right w:w="108" w:type="dxa"/>
                      </w:tblCellMar>
                    </w:tblPrEx>
                    <w:trPr>
                      <w:trHeight w:val="722" w:hRule="atLeast"/>
                    </w:trPr>
                    <w:tc>
                      <w:tcPr>
                        <w:tcW w:w="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2DBB1">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6668" w:type="dxa"/>
                        <w:tcBorders>
                          <w:top w:val="single" w:color="auto" w:sz="4" w:space="0"/>
                          <w:left w:val="nil"/>
                          <w:bottom w:val="single" w:color="auto" w:sz="4" w:space="0"/>
                          <w:right w:val="single" w:color="auto" w:sz="4" w:space="0"/>
                        </w:tcBorders>
                        <w:shd w:val="clear" w:color="auto" w:fill="auto"/>
                        <w:vAlign w:val="center"/>
                      </w:tcPr>
                      <w:p w14:paraId="0ED58D68">
                        <w:pPr>
                          <w:pStyle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全景镜头通道支持分辨率</w:t>
                        </w:r>
                        <w:r>
                          <w:rPr>
                            <w:rFonts w:hint="eastAsia" w:ascii="宋体" w:hAnsi="宋体" w:cs="宋体"/>
                            <w:color w:val="auto"/>
                            <w:kern w:val="0"/>
                            <w:sz w:val="21"/>
                            <w:szCs w:val="21"/>
                            <w:highlight w:val="none"/>
                            <w:lang w:val="en-US" w:eastAsia="zh-CN"/>
                          </w:rPr>
                          <w:t>不小于360</w:t>
                        </w:r>
                        <w:r>
                          <w:rPr>
                            <w:rFonts w:hint="eastAsia" w:ascii="宋体" w:hAnsi="宋体" w:cs="宋体"/>
                            <w:color w:val="auto"/>
                            <w:kern w:val="0"/>
                            <w:sz w:val="21"/>
                            <w:szCs w:val="21"/>
                            <w:highlight w:val="none"/>
                          </w:rPr>
                          <w:t>0x1</w:t>
                        </w:r>
                        <w:r>
                          <w:rPr>
                            <w:rFonts w:hint="eastAsia" w:ascii="宋体" w:hAnsi="宋体" w:cs="宋体"/>
                            <w:color w:val="auto"/>
                            <w:kern w:val="0"/>
                            <w:sz w:val="21"/>
                            <w:szCs w:val="21"/>
                            <w:highlight w:val="none"/>
                            <w:lang w:val="en-US" w:eastAsia="zh-CN"/>
                          </w:rPr>
                          <w:t>60</w:t>
                        </w:r>
                        <w:r>
                          <w:rPr>
                            <w:rFonts w:hint="eastAsia" w:ascii="宋体" w:hAnsi="宋体" w:cs="宋体"/>
                            <w:color w:val="auto"/>
                            <w:kern w:val="0"/>
                            <w:sz w:val="21"/>
                            <w:szCs w:val="21"/>
                            <w:highlight w:val="none"/>
                          </w:rPr>
                          <w:t>0、细节镜头通道支持分辨率</w:t>
                        </w:r>
                        <w:r>
                          <w:rPr>
                            <w:rFonts w:hint="eastAsia" w:ascii="宋体" w:hAnsi="宋体" w:cs="宋体"/>
                            <w:color w:val="auto"/>
                            <w:kern w:val="0"/>
                            <w:sz w:val="21"/>
                            <w:szCs w:val="21"/>
                            <w:highlight w:val="none"/>
                            <w:lang w:val="en-US" w:eastAsia="zh-CN"/>
                          </w:rPr>
                          <w:t>不小于2688</w:t>
                        </w:r>
                        <w:r>
                          <w:rPr>
                            <w:rFonts w:hint="eastAsia" w:ascii="宋体" w:hAnsi="宋体" w:cs="宋体"/>
                            <w:color w:val="auto"/>
                            <w:kern w:val="0"/>
                            <w:sz w:val="21"/>
                            <w:szCs w:val="21"/>
                            <w:highlight w:val="none"/>
                          </w:rPr>
                          <w:t>x1</w:t>
                        </w:r>
                        <w:r>
                          <w:rPr>
                            <w:rFonts w:hint="eastAsia" w:ascii="宋体" w:hAnsi="宋体" w:cs="宋体"/>
                            <w:color w:val="auto"/>
                            <w:kern w:val="0"/>
                            <w:sz w:val="21"/>
                            <w:szCs w:val="21"/>
                            <w:highlight w:val="none"/>
                            <w:lang w:val="en-US" w:eastAsia="zh-CN"/>
                          </w:rPr>
                          <w:t>52</w:t>
                        </w: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球机</w:t>
                        </w:r>
                        <w:r>
                          <w:rPr>
                            <w:rFonts w:hint="eastAsia" w:ascii="宋体" w:hAnsi="宋体" w:cs="宋体"/>
                            <w:color w:val="auto"/>
                            <w:kern w:val="0"/>
                            <w:sz w:val="21"/>
                            <w:szCs w:val="21"/>
                            <w:highlight w:val="none"/>
                          </w:rPr>
                          <w:t>光学变倍不小于</w:t>
                        </w:r>
                        <w:r>
                          <w:rPr>
                            <w:rFonts w:hint="eastAsia" w:ascii="宋体" w:hAnsi="宋体" w:cs="宋体"/>
                            <w:color w:val="auto"/>
                            <w:kern w:val="0"/>
                            <w:sz w:val="21"/>
                            <w:szCs w:val="21"/>
                            <w:highlight w:val="none"/>
                            <w:lang w:val="en-US" w:eastAsia="zh-CN"/>
                          </w:rPr>
                          <w:t>25</w:t>
                        </w:r>
                        <w:r>
                          <w:rPr>
                            <w:rFonts w:hint="eastAsia" w:ascii="宋体" w:hAnsi="宋体" w:cs="宋体"/>
                            <w:color w:val="auto"/>
                            <w:kern w:val="0"/>
                            <w:sz w:val="21"/>
                            <w:szCs w:val="21"/>
                            <w:highlight w:val="none"/>
                          </w:rPr>
                          <w:t>倍</w:t>
                        </w:r>
                        <w:r>
                          <w:rPr>
                            <w:rFonts w:hint="eastAsia" w:ascii="宋体" w:hAnsi="宋体" w:cs="宋体"/>
                            <w:color w:val="auto"/>
                            <w:kern w:val="0"/>
                            <w:sz w:val="21"/>
                            <w:szCs w:val="21"/>
                            <w:highlight w:val="none"/>
                            <w:lang w:eastAsia="zh-CN"/>
                          </w:rPr>
                          <w:t>。</w:t>
                        </w:r>
                      </w:p>
                    </w:tc>
                  </w:tr>
                  <w:tr w14:paraId="20457844">
                    <w:tblPrEx>
                      <w:tblCellMar>
                        <w:top w:w="0" w:type="dxa"/>
                        <w:left w:w="108" w:type="dxa"/>
                        <w:bottom w:w="0" w:type="dxa"/>
                        <w:right w:w="108" w:type="dxa"/>
                      </w:tblCellMar>
                    </w:tblPrEx>
                    <w:trPr>
                      <w:trHeight w:val="695" w:hRule="atLeast"/>
                    </w:trPr>
                    <w:tc>
                      <w:tcPr>
                        <w:tcW w:w="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54506">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6668" w:type="dxa"/>
                        <w:tcBorders>
                          <w:top w:val="single" w:color="auto" w:sz="4" w:space="0"/>
                          <w:left w:val="nil"/>
                          <w:bottom w:val="single" w:color="auto" w:sz="4" w:space="0"/>
                          <w:right w:val="single" w:color="auto" w:sz="4" w:space="0"/>
                        </w:tcBorders>
                        <w:shd w:val="clear" w:color="auto" w:fill="auto"/>
                        <w:vAlign w:val="center"/>
                      </w:tcPr>
                      <w:p w14:paraId="7B94D0BC">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细节</w:t>
                        </w:r>
                        <w:r>
                          <w:rPr>
                            <w:rFonts w:hint="eastAsia" w:ascii="宋体" w:hAnsi="宋体" w:cs="宋体"/>
                            <w:color w:val="auto"/>
                            <w:kern w:val="0"/>
                            <w:sz w:val="21"/>
                            <w:szCs w:val="21"/>
                            <w:highlight w:val="none"/>
                            <w:lang w:val="en-US" w:eastAsia="zh-CN"/>
                          </w:rPr>
                          <w:t>镜头支持机动车、非机动车、行人等目标检测、跟随、抓拍，支持人脸、车牌、非机动车车牌抠图的功能</w:t>
                        </w:r>
                        <w:r>
                          <w:rPr>
                            <w:rFonts w:hint="eastAsia" w:ascii="宋体" w:hAnsi="宋体" w:cs="宋体"/>
                            <w:color w:val="auto"/>
                            <w:kern w:val="0"/>
                            <w:sz w:val="21"/>
                            <w:szCs w:val="21"/>
                            <w:highlight w:val="none"/>
                          </w:rPr>
                          <w:t>。</w:t>
                        </w:r>
                      </w:p>
                    </w:tc>
                  </w:tr>
                </w:tbl>
                <w:p w14:paraId="3DB4B8AC">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auto"/>
                      <w:kern w:val="0"/>
                      <w:sz w:val="21"/>
                      <w:szCs w:val="21"/>
                      <w:highlight w:val="none"/>
                      <w:lang w:eastAsia="zh-CN"/>
                    </w:rPr>
                  </w:pPr>
                </w:p>
              </w:tc>
            </w:tr>
            <w:tr w14:paraId="0DD6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26" w:type="dxa"/>
                  <w:vAlign w:val="center"/>
                </w:tcPr>
                <w:p w14:paraId="7B79F0D2">
                  <w:pPr>
                    <w:pStyle w:val="11"/>
                    <w:widowControl w:val="0"/>
                    <w:numPr>
                      <w:ilvl w:val="0"/>
                      <w:numId w:val="0"/>
                    </w:numPr>
                    <w:jc w:val="center"/>
                    <w:rPr>
                      <w:rFonts w:hint="eastAsia"/>
                      <w:b/>
                      <w:bCs/>
                      <w:color w:val="auto"/>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rPr>
                    <w:t>AI枪机</w:t>
                  </w:r>
                </w:p>
              </w:tc>
              <w:tc>
                <w:tcPr>
                  <w:tcW w:w="7458" w:type="dxa"/>
                </w:tcPr>
                <w:p w14:paraId="6284D497">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highlight w:val="none"/>
                      <w:lang w:eastAsia="zh-CN"/>
                    </w:rPr>
                  </w:pPr>
                </w:p>
                <w:tbl>
                  <w:tblPr>
                    <w:tblStyle w:val="8"/>
                    <w:tblW w:w="7139" w:type="dxa"/>
                    <w:tblInd w:w="0" w:type="dxa"/>
                    <w:tblLayout w:type="fixed"/>
                    <w:tblCellMar>
                      <w:top w:w="0" w:type="dxa"/>
                      <w:left w:w="108" w:type="dxa"/>
                      <w:bottom w:w="0" w:type="dxa"/>
                      <w:right w:w="108" w:type="dxa"/>
                    </w:tblCellMar>
                  </w:tblPr>
                  <w:tblGrid>
                    <w:gridCol w:w="631"/>
                    <w:gridCol w:w="6508"/>
                  </w:tblGrid>
                  <w:tr w14:paraId="295B05D8">
                    <w:tblPrEx>
                      <w:tblCellMar>
                        <w:top w:w="0" w:type="dxa"/>
                        <w:left w:w="108" w:type="dxa"/>
                        <w:bottom w:w="0" w:type="dxa"/>
                        <w:right w:w="108" w:type="dxa"/>
                      </w:tblCellMar>
                    </w:tblPrEx>
                    <w:trPr>
                      <w:trHeight w:val="475" w:hRule="atLeast"/>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55F9A74">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508" w:type="dxa"/>
                        <w:tcBorders>
                          <w:top w:val="single" w:color="auto" w:sz="4" w:space="0"/>
                          <w:left w:val="nil"/>
                          <w:bottom w:val="single" w:color="auto" w:sz="4" w:space="0"/>
                          <w:right w:val="single" w:color="auto" w:sz="4" w:space="0"/>
                        </w:tcBorders>
                        <w:shd w:val="clear" w:color="auto" w:fill="auto"/>
                        <w:vAlign w:val="center"/>
                      </w:tcPr>
                      <w:p w14:paraId="0787A940">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68088B04">
                    <w:tblPrEx>
                      <w:tblCellMar>
                        <w:top w:w="0" w:type="dxa"/>
                        <w:left w:w="108" w:type="dxa"/>
                        <w:bottom w:w="0" w:type="dxa"/>
                        <w:right w:w="108" w:type="dxa"/>
                      </w:tblCellMar>
                    </w:tblPrEx>
                    <w:trPr>
                      <w:trHeight w:val="141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D99E484">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508" w:type="dxa"/>
                        <w:tcBorders>
                          <w:top w:val="nil"/>
                          <w:left w:val="nil"/>
                          <w:bottom w:val="single" w:color="auto" w:sz="4" w:space="0"/>
                          <w:right w:val="single" w:color="auto" w:sz="4" w:space="0"/>
                        </w:tcBorders>
                        <w:shd w:val="clear" w:color="auto" w:fill="auto"/>
                        <w:vAlign w:val="center"/>
                      </w:tcPr>
                      <w:p w14:paraId="79DCFB8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同时对检测区域内出现的人脸、人体、非机动车、车辆及车牌进行检测、框选、筛选抓拍，存储抓拍的图片，并支持识别、存储、上报车牌号码；支持关联显示人脸和人体图片、车牌和车辆图片，支持新能源车牌的抓拍和识别。（需提供公安部检测机构出具的检测报告复印件证明，添加注明招标项目名称的水印，并加盖制造商投标专用章或公章）。</w:t>
                        </w:r>
                      </w:p>
                    </w:tc>
                  </w:tr>
                  <w:tr w14:paraId="0A1566FB">
                    <w:tblPrEx>
                      <w:tblCellMar>
                        <w:top w:w="0" w:type="dxa"/>
                        <w:left w:w="108" w:type="dxa"/>
                        <w:bottom w:w="0" w:type="dxa"/>
                        <w:right w:w="108" w:type="dxa"/>
                      </w:tblCellMar>
                    </w:tblPrEx>
                    <w:trPr>
                      <w:trHeight w:val="709"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09FAA4C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508" w:type="dxa"/>
                        <w:tcBorders>
                          <w:top w:val="nil"/>
                          <w:left w:val="nil"/>
                          <w:bottom w:val="single" w:color="auto" w:sz="4" w:space="0"/>
                          <w:right w:val="single" w:color="auto" w:sz="4" w:space="0"/>
                        </w:tcBorders>
                        <w:shd w:val="clear" w:color="auto" w:fill="auto"/>
                        <w:vAlign w:val="center"/>
                      </w:tcPr>
                      <w:p w14:paraId="0F500BC2">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▲设备支持不低于16颗补光灯，支持远光灯、近光灯，当环境照度降低至一定值时，设备可自动开启补光灯补光，设备在白天、夜晚均应输出彩色视频图像。</w:t>
                        </w:r>
                      </w:p>
                    </w:tc>
                  </w:tr>
                  <w:tr w14:paraId="2671A415">
                    <w:tblPrEx>
                      <w:tblCellMar>
                        <w:top w:w="0" w:type="dxa"/>
                        <w:left w:w="108" w:type="dxa"/>
                        <w:bottom w:w="0" w:type="dxa"/>
                        <w:right w:w="108" w:type="dxa"/>
                      </w:tblCellMar>
                    </w:tblPrEx>
                    <w:trPr>
                      <w:trHeight w:val="943"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083C11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508" w:type="dxa"/>
                        <w:tcBorders>
                          <w:top w:val="nil"/>
                          <w:left w:val="nil"/>
                          <w:bottom w:val="single" w:color="auto" w:sz="4" w:space="0"/>
                          <w:right w:val="single" w:color="auto" w:sz="4" w:space="0"/>
                        </w:tcBorders>
                        <w:shd w:val="clear" w:color="auto" w:fill="auto"/>
                        <w:vAlign w:val="center"/>
                      </w:tcPr>
                      <w:p w14:paraId="4455A20B">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▲镜头和补光灯分舱体左右布局，镜头舱体凸出补光平面。（需提供公安部检测机构出具的检测报告复印件证明，添加注明招标项目名称的水印，并加盖制造商投标专用章或公章）。</w:t>
                        </w:r>
                      </w:p>
                    </w:tc>
                  </w:tr>
                  <w:tr w14:paraId="5F6ABB2D">
                    <w:tblPrEx>
                      <w:tblCellMar>
                        <w:top w:w="0" w:type="dxa"/>
                        <w:left w:w="108" w:type="dxa"/>
                        <w:bottom w:w="0" w:type="dxa"/>
                        <w:right w:w="108" w:type="dxa"/>
                      </w:tblCellMar>
                    </w:tblPrEx>
                    <w:trPr>
                      <w:trHeight w:val="943"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5F2A61AD">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508" w:type="dxa"/>
                        <w:tcBorders>
                          <w:top w:val="nil"/>
                          <w:left w:val="nil"/>
                          <w:bottom w:val="single" w:color="auto" w:sz="4" w:space="0"/>
                          <w:right w:val="single" w:color="auto" w:sz="4" w:space="0"/>
                        </w:tcBorders>
                        <w:shd w:val="clear" w:color="auto" w:fill="auto"/>
                        <w:vAlign w:val="center"/>
                      </w:tcPr>
                      <w:p w14:paraId="0B533280">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支持输出2560×1440@25fps主码流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内置CPU/GPU/NPU智能算法芯片。支持GB35114 A级安全加密，GB28181、GA1400标准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支持实时定位功能，支持北斗定位模式，可在监控画面</w:t>
                        </w:r>
                        <w:r>
                          <w:rPr>
                            <w:rFonts w:hint="eastAsia" w:ascii="宋体" w:hAnsi="宋体" w:cs="宋体"/>
                            <w:color w:val="auto"/>
                            <w:kern w:val="0"/>
                            <w:sz w:val="21"/>
                            <w:szCs w:val="21"/>
                            <w:highlight w:val="none"/>
                            <w:lang w:eastAsia="zh-CN"/>
                          </w:rPr>
                          <w:t>按国标模式</w:t>
                        </w:r>
                        <w:r>
                          <w:rPr>
                            <w:rFonts w:hint="eastAsia" w:ascii="宋体" w:hAnsi="宋体" w:cs="宋体"/>
                            <w:color w:val="auto"/>
                            <w:kern w:val="0"/>
                            <w:sz w:val="21"/>
                            <w:szCs w:val="21"/>
                            <w:highlight w:val="none"/>
                          </w:rPr>
                          <w:t>叠加</w:t>
                        </w:r>
                        <w:r>
                          <w:rPr>
                            <w:rFonts w:hint="eastAsia" w:ascii="宋体" w:hAnsi="宋体" w:cs="宋体"/>
                            <w:color w:val="auto"/>
                            <w:kern w:val="0"/>
                            <w:sz w:val="21"/>
                            <w:szCs w:val="21"/>
                            <w:highlight w:val="none"/>
                            <w:lang w:val="en-US" w:eastAsia="zh-CN"/>
                          </w:rPr>
                          <w:t>OSD</w:t>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lang w:eastAsia="zh-CN"/>
                          </w:rPr>
                          <w:t>。</w:t>
                        </w:r>
                      </w:p>
                    </w:tc>
                  </w:tr>
                  <w:tr w14:paraId="3077F9CA">
                    <w:tblPrEx>
                      <w:tblCellMar>
                        <w:top w:w="0" w:type="dxa"/>
                        <w:left w:w="108" w:type="dxa"/>
                        <w:bottom w:w="0" w:type="dxa"/>
                        <w:right w:w="108" w:type="dxa"/>
                      </w:tblCellMar>
                    </w:tblPrEx>
                    <w:trPr>
                      <w:trHeight w:val="475"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6577CF48">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6508" w:type="dxa"/>
                        <w:tcBorders>
                          <w:top w:val="nil"/>
                          <w:left w:val="nil"/>
                          <w:bottom w:val="single" w:color="auto" w:sz="4" w:space="0"/>
                          <w:right w:val="single" w:color="auto" w:sz="4" w:space="0"/>
                        </w:tcBorders>
                        <w:shd w:val="clear" w:color="auto" w:fill="auto"/>
                        <w:vAlign w:val="center"/>
                      </w:tcPr>
                      <w:p w14:paraId="1E72559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光源设计减少对蚊虫吸引，镜灯分离，减少蚊虫、蜘蛛对视窗画面的干扰；高分子涂层和圆润前盖，降低蜘蛛结网概率。</w:t>
                        </w:r>
                      </w:p>
                    </w:tc>
                  </w:tr>
                  <w:tr w14:paraId="53231911">
                    <w:tblPrEx>
                      <w:tblCellMar>
                        <w:top w:w="0" w:type="dxa"/>
                        <w:left w:w="108" w:type="dxa"/>
                        <w:bottom w:w="0" w:type="dxa"/>
                        <w:right w:w="108" w:type="dxa"/>
                      </w:tblCellMar>
                    </w:tblPrEx>
                    <w:trPr>
                      <w:trHeight w:val="475"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4257B1B5">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508" w:type="dxa"/>
                        <w:tcBorders>
                          <w:top w:val="nil"/>
                          <w:left w:val="nil"/>
                          <w:bottom w:val="single" w:color="auto" w:sz="4" w:space="0"/>
                          <w:right w:val="single" w:color="auto" w:sz="4" w:space="0"/>
                        </w:tcBorders>
                        <w:shd w:val="clear" w:color="auto" w:fill="auto"/>
                        <w:vAlign w:val="center"/>
                      </w:tcPr>
                      <w:p w14:paraId="1853C11B">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支持对出现在监控场景内的两眼瞳距不小于40像素的人脸进行检测</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支持侧脸过滤功能，可过滤上下、左右倾斜角度超过预设值的人脸</w:t>
                        </w:r>
                      </w:p>
                    </w:tc>
                  </w:tr>
                  <w:tr w14:paraId="3D385AAE">
                    <w:tblPrEx>
                      <w:tblCellMar>
                        <w:top w:w="0" w:type="dxa"/>
                        <w:left w:w="108" w:type="dxa"/>
                        <w:bottom w:w="0" w:type="dxa"/>
                        <w:right w:w="108" w:type="dxa"/>
                      </w:tblCellMar>
                    </w:tblPrEx>
                    <w:trPr>
                      <w:trHeight w:val="950" w:hRule="atLeast"/>
                    </w:trPr>
                    <w:tc>
                      <w:tcPr>
                        <w:tcW w:w="631" w:type="dxa"/>
                        <w:tcBorders>
                          <w:top w:val="nil"/>
                          <w:left w:val="single" w:color="auto" w:sz="4" w:space="0"/>
                          <w:bottom w:val="single" w:color="auto" w:sz="4" w:space="0"/>
                          <w:right w:val="single" w:color="auto" w:sz="4" w:space="0"/>
                        </w:tcBorders>
                        <w:shd w:val="clear" w:color="auto" w:fill="auto"/>
                        <w:vAlign w:val="center"/>
                      </w:tcPr>
                      <w:p w14:paraId="4AC2CC3C">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6508" w:type="dxa"/>
                        <w:tcBorders>
                          <w:top w:val="nil"/>
                          <w:left w:val="nil"/>
                          <w:bottom w:val="single" w:color="auto" w:sz="4" w:space="0"/>
                          <w:right w:val="single" w:color="auto" w:sz="4" w:space="0"/>
                        </w:tcBorders>
                        <w:shd w:val="clear" w:color="auto" w:fill="auto"/>
                        <w:vAlign w:val="center"/>
                      </w:tcPr>
                      <w:p w14:paraId="4301F5A7">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内置1个麦克风，1个扬声器，支持1路报警输入，1路报警输出，1路音频输入，1路音频输出，1个定位模块，1个RS485接口，支持DC12V/POE供电。支持标准的512 GB Micro SD/Micro SDHC/Micro SDXC卡存储插槽。</w:t>
                        </w:r>
                      </w:p>
                    </w:tc>
                  </w:tr>
                </w:tbl>
                <w:p w14:paraId="224A3B3F">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21"/>
                      <w:szCs w:val="21"/>
                      <w:highlight w:val="none"/>
                      <w:lang w:eastAsia="zh-CN"/>
                    </w:rPr>
                  </w:pPr>
                </w:p>
              </w:tc>
            </w:tr>
            <w:tr w14:paraId="2FE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26" w:type="dxa"/>
                  <w:vAlign w:val="center"/>
                </w:tcPr>
                <w:p w14:paraId="05B7955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磁盘阵列</w:t>
                  </w:r>
                </w:p>
              </w:tc>
              <w:tc>
                <w:tcPr>
                  <w:tcW w:w="7458" w:type="dxa"/>
                  <w:vAlign w:val="center"/>
                </w:tcPr>
                <w:p w14:paraId="437988B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b/>
                      <w:bCs/>
                      <w:color w:val="auto"/>
                      <w:highlight w:val="none"/>
                      <w:vertAlign w:val="baseline"/>
                      <w:lang w:eastAsia="zh-CN"/>
                    </w:rPr>
                  </w:pPr>
                </w:p>
                <w:tbl>
                  <w:tblPr>
                    <w:tblStyle w:val="8"/>
                    <w:tblW w:w="4760" w:type="pct"/>
                    <w:jc w:val="center"/>
                    <w:tblLayout w:type="fixed"/>
                    <w:tblCellMar>
                      <w:top w:w="0" w:type="dxa"/>
                      <w:left w:w="108" w:type="dxa"/>
                      <w:bottom w:w="0" w:type="dxa"/>
                      <w:right w:w="108" w:type="dxa"/>
                    </w:tblCellMar>
                  </w:tblPr>
                  <w:tblGrid>
                    <w:gridCol w:w="703"/>
                    <w:gridCol w:w="6191"/>
                  </w:tblGrid>
                  <w:tr w14:paraId="4E426827">
                    <w:tblPrEx>
                      <w:tblCellMar>
                        <w:top w:w="0" w:type="dxa"/>
                        <w:left w:w="108" w:type="dxa"/>
                        <w:bottom w:w="0" w:type="dxa"/>
                        <w:right w:w="108" w:type="dxa"/>
                      </w:tblCellMar>
                    </w:tblPrEx>
                    <w:trPr>
                      <w:trHeight w:val="761" w:hRule="atLeast"/>
                      <w:jc w:val="center"/>
                    </w:trPr>
                    <w:tc>
                      <w:tcPr>
                        <w:tcW w:w="509" w:type="pct"/>
                        <w:tcBorders>
                          <w:top w:val="single" w:color="auto" w:sz="4" w:space="0"/>
                          <w:left w:val="single" w:color="auto" w:sz="4" w:space="0"/>
                          <w:bottom w:val="single" w:color="auto" w:sz="4" w:space="0"/>
                          <w:right w:val="single" w:color="auto" w:sz="4" w:space="0"/>
                        </w:tcBorders>
                        <w:noWrap/>
                        <w:vAlign w:val="center"/>
                      </w:tcPr>
                      <w:p w14:paraId="31011DD6">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序号</w:t>
                        </w:r>
                      </w:p>
                    </w:tc>
                    <w:tc>
                      <w:tcPr>
                        <w:tcW w:w="4490" w:type="pct"/>
                        <w:tcBorders>
                          <w:top w:val="single" w:color="auto" w:sz="4" w:space="0"/>
                          <w:left w:val="nil"/>
                          <w:bottom w:val="single" w:color="auto" w:sz="4" w:space="0"/>
                          <w:right w:val="single" w:color="auto" w:sz="4" w:space="0"/>
                        </w:tcBorders>
                        <w:vAlign w:val="center"/>
                      </w:tcPr>
                      <w:p w14:paraId="0F394E8A">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技术功能需求</w:t>
                        </w:r>
                      </w:p>
                    </w:tc>
                  </w:tr>
                  <w:tr w14:paraId="2F6B41F7">
                    <w:tblPrEx>
                      <w:tblCellMar>
                        <w:top w:w="0" w:type="dxa"/>
                        <w:left w:w="108" w:type="dxa"/>
                        <w:bottom w:w="0" w:type="dxa"/>
                        <w:right w:w="108" w:type="dxa"/>
                      </w:tblCellMar>
                    </w:tblPrEx>
                    <w:trPr>
                      <w:trHeight w:val="483" w:hRule="atLeast"/>
                      <w:jc w:val="center"/>
                    </w:trPr>
                    <w:tc>
                      <w:tcPr>
                        <w:tcW w:w="509" w:type="pct"/>
                        <w:tcBorders>
                          <w:top w:val="nil"/>
                          <w:left w:val="single" w:color="auto" w:sz="4" w:space="0"/>
                          <w:bottom w:val="single" w:color="auto" w:sz="4" w:space="0"/>
                          <w:right w:val="single" w:color="auto" w:sz="4" w:space="0"/>
                        </w:tcBorders>
                        <w:noWrap/>
                        <w:vAlign w:val="center"/>
                      </w:tcPr>
                      <w:p w14:paraId="511F1636">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p>
                    </w:tc>
                    <w:tc>
                      <w:tcPr>
                        <w:tcW w:w="4490" w:type="pct"/>
                        <w:tcBorders>
                          <w:top w:val="nil"/>
                          <w:left w:val="nil"/>
                          <w:bottom w:val="single" w:color="auto" w:sz="4" w:space="0"/>
                          <w:right w:val="single" w:color="auto" w:sz="4" w:space="0"/>
                        </w:tcBorders>
                        <w:vAlign w:val="center"/>
                      </w:tcPr>
                      <w:p w14:paraId="43382CA1">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存储系统支持与视频监控平台、虚拟化平台对接；一套存储系统支持同时给多个视频监控平台系统提供服务，可提供视频监控业务，具备容错处理能力。</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220EC90D">
                    <w:tblPrEx>
                      <w:tblCellMar>
                        <w:top w:w="0" w:type="dxa"/>
                        <w:left w:w="108" w:type="dxa"/>
                        <w:bottom w:w="0" w:type="dxa"/>
                        <w:right w:w="108" w:type="dxa"/>
                      </w:tblCellMar>
                    </w:tblPrEx>
                    <w:trPr>
                      <w:trHeight w:val="246" w:hRule="atLeast"/>
                      <w:jc w:val="center"/>
                    </w:trPr>
                    <w:tc>
                      <w:tcPr>
                        <w:tcW w:w="509" w:type="pct"/>
                        <w:tcBorders>
                          <w:top w:val="nil"/>
                          <w:left w:val="single" w:color="auto" w:sz="4" w:space="0"/>
                          <w:bottom w:val="single" w:color="auto" w:sz="4" w:space="0"/>
                          <w:right w:val="single" w:color="auto" w:sz="4" w:space="0"/>
                        </w:tcBorders>
                        <w:noWrap/>
                        <w:vAlign w:val="center"/>
                      </w:tcPr>
                      <w:p w14:paraId="3C240DC2">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p>
                    </w:tc>
                    <w:tc>
                      <w:tcPr>
                        <w:tcW w:w="4490" w:type="pct"/>
                        <w:tcBorders>
                          <w:top w:val="nil"/>
                          <w:left w:val="nil"/>
                          <w:bottom w:val="single" w:color="auto" w:sz="4" w:space="0"/>
                          <w:right w:val="single" w:color="auto" w:sz="4" w:space="0"/>
                        </w:tcBorders>
                        <w:vAlign w:val="center"/>
                      </w:tcPr>
                      <w:p w14:paraId="25B413CA">
                        <w:pPr>
                          <w:widowControl/>
                          <w:snapToGrid w:val="0"/>
                          <w:jc w:val="left"/>
                          <w:rPr>
                            <w:rFonts w:ascii="宋体" w:hAnsi="宋体"/>
                            <w:color w:val="auto"/>
                            <w:sz w:val="21"/>
                            <w:szCs w:val="21"/>
                            <w:highlight w:val="none"/>
                          </w:rPr>
                        </w:pPr>
                        <w:r>
                          <w:rPr>
                            <w:rFonts w:hint="eastAsia"/>
                            <w:color w:val="auto"/>
                            <w:sz w:val="21"/>
                            <w:highlight w:val="none"/>
                          </w:rPr>
                          <w:t>▲</w:t>
                        </w:r>
                        <w:r>
                          <w:rPr>
                            <w:rFonts w:hint="eastAsia" w:ascii="宋体" w:hAnsi="宋体"/>
                            <w:color w:val="auto"/>
                            <w:sz w:val="21"/>
                            <w:szCs w:val="21"/>
                            <w:highlight w:val="none"/>
                          </w:rPr>
                          <w:t>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r>
                          <w:rPr>
                            <w:rFonts w:ascii="宋体" w:hAnsi="宋体"/>
                            <w:color w:val="auto"/>
                            <w:sz w:val="21"/>
                            <w:szCs w:val="21"/>
                            <w:highlight w:val="none"/>
                          </w:rPr>
                          <w:t xml:space="preserve"> </w:t>
                        </w:r>
                      </w:p>
                    </w:tc>
                  </w:tr>
                  <w:tr w14:paraId="6D88894A">
                    <w:tblPrEx>
                      <w:tblCellMar>
                        <w:top w:w="0" w:type="dxa"/>
                        <w:left w:w="108" w:type="dxa"/>
                        <w:bottom w:w="0" w:type="dxa"/>
                        <w:right w:w="108" w:type="dxa"/>
                      </w:tblCellMar>
                    </w:tblPrEx>
                    <w:trPr>
                      <w:trHeight w:val="483" w:hRule="atLeast"/>
                      <w:jc w:val="center"/>
                    </w:trPr>
                    <w:tc>
                      <w:tcPr>
                        <w:tcW w:w="509" w:type="pct"/>
                        <w:tcBorders>
                          <w:top w:val="nil"/>
                          <w:left w:val="single" w:color="auto" w:sz="4" w:space="0"/>
                          <w:bottom w:val="single" w:color="auto" w:sz="4" w:space="0"/>
                          <w:right w:val="single" w:color="auto" w:sz="4" w:space="0"/>
                        </w:tcBorders>
                        <w:noWrap/>
                        <w:vAlign w:val="center"/>
                      </w:tcPr>
                      <w:p w14:paraId="0B2C74B4">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p>
                    </w:tc>
                    <w:tc>
                      <w:tcPr>
                        <w:tcW w:w="4490" w:type="pct"/>
                        <w:tcBorders>
                          <w:top w:val="nil"/>
                          <w:left w:val="nil"/>
                          <w:bottom w:val="single" w:color="auto" w:sz="4" w:space="0"/>
                          <w:right w:val="single" w:color="auto" w:sz="4" w:space="0"/>
                        </w:tcBorders>
                        <w:vAlign w:val="center"/>
                      </w:tcPr>
                      <w:p w14:paraId="59C3CEDA">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管理平台支持对关键程序、关键数据采取备份、冗余措施，具备容错和系统恢复能力，支持对管理平台整体性能有影响的关键设备进行负载均衡；支持管理服务数据备份故障恢复，每隔至少15分钟备份一次，支持历史数据自动清理，数据清理不影响业务运行；</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654A6901">
                    <w:tblPrEx>
                      <w:tblCellMar>
                        <w:top w:w="0" w:type="dxa"/>
                        <w:left w:w="108" w:type="dxa"/>
                        <w:bottom w:w="0" w:type="dxa"/>
                        <w:right w:w="108" w:type="dxa"/>
                      </w:tblCellMar>
                    </w:tblPrEx>
                    <w:trPr>
                      <w:trHeight w:val="720" w:hRule="atLeast"/>
                      <w:jc w:val="center"/>
                    </w:trPr>
                    <w:tc>
                      <w:tcPr>
                        <w:tcW w:w="509" w:type="pct"/>
                        <w:tcBorders>
                          <w:top w:val="nil"/>
                          <w:left w:val="single" w:color="auto" w:sz="4" w:space="0"/>
                          <w:bottom w:val="single" w:color="auto" w:sz="4" w:space="0"/>
                          <w:right w:val="single" w:color="auto" w:sz="4" w:space="0"/>
                        </w:tcBorders>
                        <w:noWrap/>
                        <w:vAlign w:val="center"/>
                      </w:tcPr>
                      <w:p w14:paraId="34F48C88">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p>
                    </w:tc>
                    <w:tc>
                      <w:tcPr>
                        <w:tcW w:w="4490" w:type="pct"/>
                        <w:tcBorders>
                          <w:top w:val="nil"/>
                          <w:left w:val="nil"/>
                          <w:bottom w:val="single" w:color="auto" w:sz="4" w:space="0"/>
                          <w:right w:val="single" w:color="auto" w:sz="4" w:space="0"/>
                        </w:tcBorders>
                        <w:vAlign w:val="center"/>
                      </w:tcPr>
                      <w:p w14:paraId="076036A2">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具有≥</w:t>
                        </w:r>
                        <w:r>
                          <w:rPr>
                            <w:rFonts w:ascii="宋体" w:hAnsi="宋体"/>
                            <w:color w:val="auto"/>
                            <w:sz w:val="21"/>
                            <w:szCs w:val="21"/>
                            <w:highlight w:val="none"/>
                          </w:rPr>
                          <w:t>48</w:t>
                        </w:r>
                        <w:r>
                          <w:rPr>
                            <w:rFonts w:hint="eastAsia" w:ascii="宋体" w:hAnsi="宋体"/>
                            <w:color w:val="auto"/>
                            <w:sz w:val="21"/>
                            <w:szCs w:val="21"/>
                            <w:highlight w:val="none"/>
                          </w:rPr>
                          <w:t>块硬盘热插拔插槽；支持硬盘热插拔设备在读写数据时，热插拔设备内的任意块硬盘，设备正常运行不宕机，硬盘不损坏，数据不丢失，业务不中断。具备数据自愈功能。当硬盘损坏后，系统自动进行数据恢复，保证数据不丢失，业务不中断</w:t>
                        </w:r>
                      </w:p>
                    </w:tc>
                  </w:tr>
                  <w:tr w14:paraId="0969A480">
                    <w:tblPrEx>
                      <w:tblCellMar>
                        <w:top w:w="0" w:type="dxa"/>
                        <w:left w:w="108" w:type="dxa"/>
                        <w:bottom w:w="0" w:type="dxa"/>
                        <w:right w:w="108" w:type="dxa"/>
                      </w:tblCellMar>
                    </w:tblPrEx>
                    <w:trPr>
                      <w:trHeight w:val="1175" w:hRule="exact"/>
                      <w:jc w:val="center"/>
                    </w:trPr>
                    <w:tc>
                      <w:tcPr>
                        <w:tcW w:w="509" w:type="pct"/>
                        <w:tcBorders>
                          <w:top w:val="nil"/>
                          <w:left w:val="single" w:color="auto" w:sz="4" w:space="0"/>
                          <w:bottom w:val="single" w:color="auto" w:sz="4" w:space="0"/>
                          <w:right w:val="single" w:color="auto" w:sz="4" w:space="0"/>
                        </w:tcBorders>
                        <w:noWrap/>
                        <w:vAlign w:val="center"/>
                      </w:tcPr>
                      <w:p w14:paraId="71FC3D4D">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p>
                    </w:tc>
                    <w:tc>
                      <w:tcPr>
                        <w:tcW w:w="4490" w:type="pct"/>
                        <w:tcBorders>
                          <w:top w:val="nil"/>
                          <w:left w:val="nil"/>
                          <w:bottom w:val="single" w:color="auto" w:sz="4" w:space="0"/>
                          <w:right w:val="single" w:color="auto" w:sz="4" w:space="0"/>
                        </w:tcBorders>
                        <w:vAlign w:val="center"/>
                      </w:tcPr>
                      <w:p w14:paraId="428E5E10">
                        <w:pPr>
                          <w:widowControl/>
                          <w:snapToGrid w:val="0"/>
                          <w:jc w:val="left"/>
                          <w:rPr>
                            <w:color w:val="auto"/>
                            <w:sz w:val="21"/>
                            <w:highlight w:val="none"/>
                          </w:rPr>
                        </w:pPr>
                        <w:r>
                          <w:rPr>
                            <w:rFonts w:hint="eastAsia" w:ascii="宋体" w:hAnsi="宋体"/>
                            <w:color w:val="auto"/>
                            <w:sz w:val="21"/>
                            <w:szCs w:val="21"/>
                            <w:highlight w:val="none"/>
                          </w:rPr>
                          <w:t>配置：≥1颗64位多核处理器，≥16GB内存，内存支持扩展，内置不低于240GB SSD固态硬盘</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支持GB/T28181、GA/T1400、Onvif、RTSP、H265等标准协议。</w:t>
                        </w:r>
                      </w:p>
                    </w:tc>
                  </w:tr>
                  <w:tr w14:paraId="44DEF3E8">
                    <w:tblPrEx>
                      <w:tblCellMar>
                        <w:top w:w="0" w:type="dxa"/>
                        <w:left w:w="108" w:type="dxa"/>
                        <w:bottom w:w="0" w:type="dxa"/>
                        <w:right w:w="108" w:type="dxa"/>
                      </w:tblCellMar>
                    </w:tblPrEx>
                    <w:trPr>
                      <w:trHeight w:val="911" w:hRule="exact"/>
                      <w:jc w:val="center"/>
                    </w:trPr>
                    <w:tc>
                      <w:tcPr>
                        <w:tcW w:w="509" w:type="pct"/>
                        <w:tcBorders>
                          <w:top w:val="nil"/>
                          <w:left w:val="single" w:color="auto" w:sz="4" w:space="0"/>
                          <w:bottom w:val="single" w:color="auto" w:sz="4" w:space="0"/>
                          <w:right w:val="single" w:color="auto" w:sz="4" w:space="0"/>
                        </w:tcBorders>
                        <w:noWrap/>
                        <w:vAlign w:val="center"/>
                      </w:tcPr>
                      <w:p w14:paraId="37134EF5">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p>
                    </w:tc>
                    <w:tc>
                      <w:tcPr>
                        <w:tcW w:w="4490" w:type="pct"/>
                        <w:tcBorders>
                          <w:top w:val="nil"/>
                          <w:left w:val="nil"/>
                          <w:bottom w:val="single" w:color="auto" w:sz="4" w:space="0"/>
                          <w:right w:val="single" w:color="auto" w:sz="4" w:space="0"/>
                        </w:tcBorders>
                        <w:vAlign w:val="center"/>
                      </w:tcPr>
                      <w:p w14:paraId="044CC7CA">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支持1+1冗余电源供电，额定功耗≤</w:t>
                        </w:r>
                        <w:r>
                          <w:rPr>
                            <w:rFonts w:ascii="宋体" w:hAnsi="宋体"/>
                            <w:color w:val="auto"/>
                            <w:sz w:val="21"/>
                            <w:szCs w:val="21"/>
                            <w:highlight w:val="none"/>
                          </w:rPr>
                          <w:t>120</w:t>
                        </w:r>
                        <w:r>
                          <w:rPr>
                            <w:rFonts w:hint="eastAsia" w:ascii="宋体" w:hAnsi="宋体"/>
                            <w:color w:val="auto"/>
                            <w:sz w:val="21"/>
                            <w:szCs w:val="21"/>
                            <w:highlight w:val="none"/>
                          </w:rPr>
                          <w:t>0W</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支撑8TB、16TB等SATA/SAS企业级硬盘、HDD硬盘、SSD硬盘</w:t>
                        </w:r>
                      </w:p>
                    </w:tc>
                  </w:tr>
                  <w:tr w14:paraId="6823BBC3">
                    <w:tblPrEx>
                      <w:tblCellMar>
                        <w:top w:w="0" w:type="dxa"/>
                        <w:left w:w="108" w:type="dxa"/>
                        <w:bottom w:w="0" w:type="dxa"/>
                        <w:right w:w="108" w:type="dxa"/>
                      </w:tblCellMar>
                    </w:tblPrEx>
                    <w:trPr>
                      <w:trHeight w:val="483" w:hRule="atLeast"/>
                      <w:jc w:val="center"/>
                    </w:trPr>
                    <w:tc>
                      <w:tcPr>
                        <w:tcW w:w="509" w:type="pct"/>
                        <w:tcBorders>
                          <w:top w:val="nil"/>
                          <w:left w:val="single" w:color="auto" w:sz="4" w:space="0"/>
                          <w:bottom w:val="single" w:color="auto" w:sz="4" w:space="0"/>
                          <w:right w:val="single" w:color="auto" w:sz="4" w:space="0"/>
                        </w:tcBorders>
                        <w:noWrap/>
                        <w:vAlign w:val="center"/>
                      </w:tcPr>
                      <w:p w14:paraId="658497DC">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p>
                    </w:tc>
                    <w:tc>
                      <w:tcPr>
                        <w:tcW w:w="4490" w:type="pct"/>
                        <w:tcBorders>
                          <w:top w:val="nil"/>
                          <w:left w:val="nil"/>
                          <w:bottom w:val="single" w:color="auto" w:sz="4" w:space="0"/>
                          <w:right w:val="single" w:color="auto" w:sz="4" w:space="0"/>
                        </w:tcBorders>
                        <w:vAlign w:val="center"/>
                      </w:tcPr>
                      <w:p w14:paraId="3BF90399">
                        <w:pPr>
                          <w:widowControl/>
                          <w:snapToGrid w:val="0"/>
                          <w:jc w:val="left"/>
                          <w:rPr>
                            <w:rFonts w:ascii="宋体" w:hAnsi="宋体"/>
                            <w:color w:val="auto"/>
                            <w:sz w:val="21"/>
                            <w:szCs w:val="21"/>
                            <w:highlight w:val="none"/>
                          </w:rPr>
                        </w:pPr>
                        <w:r>
                          <w:rPr>
                            <w:rFonts w:hint="eastAsia" w:ascii="宋体" w:hAnsi="宋体"/>
                            <w:color w:val="auto"/>
                            <w:sz w:val="21"/>
                            <w:szCs w:val="21"/>
                            <w:highlight w:val="none"/>
                            <w:lang w:eastAsia="zh-CN"/>
                          </w:rPr>
                          <w:t>能和</w:t>
                        </w:r>
                        <w:r>
                          <w:rPr>
                            <w:rFonts w:hint="eastAsia" w:ascii="宋体" w:hAnsi="宋体"/>
                            <w:color w:val="auto"/>
                            <w:sz w:val="21"/>
                            <w:szCs w:val="21"/>
                            <w:highlight w:val="none"/>
                            <w:lang w:val="en-US" w:eastAsia="zh-CN"/>
                          </w:rPr>
                          <w:t>采购人</w:t>
                        </w:r>
                        <w:r>
                          <w:rPr>
                            <w:rFonts w:hint="eastAsia" w:ascii="宋体" w:hAnsi="宋体"/>
                            <w:color w:val="auto"/>
                            <w:sz w:val="21"/>
                            <w:szCs w:val="21"/>
                            <w:highlight w:val="none"/>
                            <w:lang w:eastAsia="zh-CN"/>
                          </w:rPr>
                          <w:t>现有视频平台和</w:t>
                        </w:r>
                        <w:r>
                          <w:rPr>
                            <w:rFonts w:hint="eastAsia" w:ascii="宋体" w:hAnsi="宋体"/>
                            <w:color w:val="auto"/>
                            <w:sz w:val="21"/>
                            <w:szCs w:val="21"/>
                            <w:highlight w:val="none"/>
                            <w:lang w:val="en-US" w:eastAsia="zh-CN"/>
                          </w:rPr>
                          <w:t>中山市公安</w:t>
                        </w:r>
                        <w:r>
                          <w:rPr>
                            <w:rFonts w:hint="eastAsia" w:ascii="宋体" w:hAnsi="宋体"/>
                            <w:color w:val="auto"/>
                            <w:sz w:val="21"/>
                            <w:szCs w:val="21"/>
                            <w:highlight w:val="none"/>
                            <w:lang w:eastAsia="zh-CN"/>
                          </w:rPr>
                          <w:t>局视频平台无缝对接。</w:t>
                        </w:r>
                      </w:p>
                    </w:tc>
                  </w:tr>
                </w:tbl>
                <w:p w14:paraId="24CED3F5">
                  <w:pPr>
                    <w:pStyle w:val="4"/>
                    <w:rPr>
                      <w:rFonts w:hint="eastAsia"/>
                      <w:color w:val="auto"/>
                      <w:highlight w:val="none"/>
                      <w:lang w:eastAsia="zh-CN"/>
                    </w:rPr>
                  </w:pPr>
                </w:p>
              </w:tc>
            </w:tr>
            <w:tr w14:paraId="007C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26" w:type="dxa"/>
                  <w:vAlign w:val="center"/>
                </w:tcPr>
                <w:p w14:paraId="4CEA97F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存储设备</w:t>
                  </w:r>
                </w:p>
              </w:tc>
              <w:tc>
                <w:tcPr>
                  <w:tcW w:w="7458" w:type="dxa"/>
                  <w:vAlign w:val="center"/>
                </w:tcPr>
                <w:p w14:paraId="3D6B23EE">
                  <w:pPr>
                    <w:widowControl/>
                    <w:snapToGrid w:val="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不少于8TB容量，3.5英寸，SATA3.0接口，7200RPM</w:t>
                  </w:r>
                </w:p>
              </w:tc>
            </w:tr>
            <w:tr w14:paraId="42C9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26" w:type="dxa"/>
                  <w:vAlign w:val="center"/>
                </w:tcPr>
                <w:p w14:paraId="7C8929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视频交换器</w:t>
                  </w:r>
                </w:p>
              </w:tc>
              <w:tc>
                <w:tcPr>
                  <w:tcW w:w="7458" w:type="dxa"/>
                  <w:vAlign w:val="center"/>
                </w:tcPr>
                <w:p w14:paraId="7571D42F">
                  <w:pPr>
                    <w:widowControl/>
                    <w:snapToGrid w:val="0"/>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1、工作组级视频交换器安装</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2、局域网视频交换器48口全千兆</w:t>
                  </w:r>
                  <w:r>
                    <w:rPr>
                      <w:rFonts w:hint="eastAsia" w:ascii="宋体" w:hAnsi="宋体"/>
                      <w:color w:val="auto"/>
                      <w:sz w:val="21"/>
                      <w:szCs w:val="21"/>
                      <w:highlight w:val="none"/>
                      <w:lang w:val="en-US" w:eastAsia="zh-CN"/>
                    </w:rPr>
                    <w:br w:type="textWrapping"/>
                  </w:r>
                  <w:r>
                    <w:rPr>
                      <w:rFonts w:hint="eastAsia" w:ascii="宋体" w:hAnsi="宋体"/>
                      <w:color w:val="auto"/>
                      <w:sz w:val="21"/>
                      <w:szCs w:val="21"/>
                      <w:highlight w:val="none"/>
                      <w:lang w:val="en-US" w:eastAsia="zh-CN"/>
                    </w:rPr>
                    <w:t>3、满足项目技术要求。</w:t>
                  </w:r>
                </w:p>
              </w:tc>
            </w:tr>
            <w:tr w14:paraId="45B1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26" w:type="dxa"/>
                  <w:vAlign w:val="center"/>
                </w:tcPr>
                <w:p w14:paraId="4575D63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电箱</w:t>
                  </w:r>
                </w:p>
              </w:tc>
              <w:tc>
                <w:tcPr>
                  <w:tcW w:w="7458" w:type="dxa"/>
                  <w:vAlign w:val="center"/>
                </w:tcPr>
                <w:p w14:paraId="4F9E2727">
                  <w:pPr>
                    <w:widowControl/>
                    <w:snapToGrid w:val="0"/>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不锈钢304材质喷涂公安标识及箱体编号，尺寸（含防雨帽 450宽＊600高＊350深mm（长宽高±50mm)（中型隔板）</w:t>
                  </w:r>
                </w:p>
              </w:tc>
            </w:tr>
          </w:tbl>
          <w:p w14:paraId="262240BB">
            <w:pPr>
              <w:pStyle w:val="11"/>
              <w:numPr>
                <w:ilvl w:val="0"/>
                <w:numId w:val="0"/>
              </w:numPr>
              <w:jc w:val="both"/>
              <w:rPr>
                <w:rFonts w:hint="default"/>
                <w:b/>
                <w:bCs/>
                <w:color w:val="auto"/>
                <w:highlight w:val="none"/>
                <w:lang w:val="en-US" w:eastAsia="zh-CN"/>
              </w:rPr>
            </w:pPr>
          </w:p>
          <w:p w14:paraId="4B6ABE4D">
            <w:pPr>
              <w:pStyle w:val="11"/>
              <w:numPr>
                <w:ilvl w:val="0"/>
                <w:numId w:val="0"/>
              </w:numPr>
              <w:jc w:val="both"/>
              <w:rPr>
                <w:rFonts w:hint="eastAsia"/>
                <w:b/>
                <w:bCs/>
                <w:color w:val="auto"/>
                <w:highlight w:val="none"/>
                <w:lang w:eastAsia="zh-CN"/>
              </w:rPr>
            </w:pPr>
          </w:p>
        </w:tc>
      </w:tr>
      <w:tr w14:paraId="01287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55" w:hRule="atLeast"/>
        </w:trPr>
        <w:tc>
          <w:tcPr>
            <w:tcW w:w="422" w:type="pct"/>
          </w:tcPr>
          <w:p w14:paraId="0B5644CA">
            <w:pPr>
              <w:rPr>
                <w:color w:val="auto"/>
                <w:highlight w:val="none"/>
              </w:rPr>
            </w:pPr>
          </w:p>
        </w:tc>
        <w:tc>
          <w:tcPr>
            <w:tcW w:w="243" w:type="pct"/>
          </w:tcPr>
          <w:p w14:paraId="72D666BD">
            <w:pPr>
              <w:pStyle w:val="11"/>
              <w:jc w:val="center"/>
              <w:rPr>
                <w:rFonts w:hint="default"/>
                <w:color w:val="auto"/>
                <w:highlight w:val="none"/>
                <w:lang w:val="en-US" w:eastAsia="zh-CN"/>
              </w:rPr>
            </w:pPr>
            <w:r>
              <w:rPr>
                <w:rFonts w:hint="eastAsia"/>
                <w:color w:val="auto"/>
                <w:highlight w:val="none"/>
                <w:lang w:val="en-US" w:eastAsia="zh-CN"/>
              </w:rPr>
              <w:t>3</w:t>
            </w:r>
          </w:p>
        </w:tc>
        <w:tc>
          <w:tcPr>
            <w:tcW w:w="4333" w:type="pct"/>
          </w:tcPr>
          <w:p w14:paraId="61A95EA4">
            <w:pPr>
              <w:pStyle w:val="11"/>
              <w:numPr>
                <w:ilvl w:val="0"/>
                <w:numId w:val="15"/>
              </w:numPr>
              <w:jc w:val="both"/>
              <w:rPr>
                <w:rFonts w:hint="eastAsia"/>
                <w:b/>
                <w:bCs/>
                <w:color w:val="auto"/>
                <w:highlight w:val="none"/>
                <w:lang w:eastAsia="zh-CN"/>
              </w:rPr>
            </w:pPr>
            <w:r>
              <w:rPr>
                <w:rFonts w:hint="eastAsia"/>
                <w:b/>
                <w:bCs/>
                <w:color w:val="auto"/>
                <w:highlight w:val="none"/>
                <w:lang w:eastAsia="zh-CN"/>
              </w:rPr>
              <w:t>设备维护内容</w:t>
            </w:r>
          </w:p>
          <w:tbl>
            <w:tblPr>
              <w:tblStyle w:val="9"/>
              <w:tblW w:w="8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390"/>
              <w:gridCol w:w="4124"/>
              <w:gridCol w:w="905"/>
              <w:gridCol w:w="924"/>
            </w:tblGrid>
            <w:tr w14:paraId="5A48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CF9462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序号</w:t>
                  </w:r>
                </w:p>
              </w:tc>
              <w:tc>
                <w:tcPr>
                  <w:tcW w:w="1390" w:type="dxa"/>
                  <w:vAlign w:val="center"/>
                </w:tcPr>
                <w:p w14:paraId="28C33C90">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项目名称</w:t>
                  </w:r>
                </w:p>
              </w:tc>
              <w:tc>
                <w:tcPr>
                  <w:tcW w:w="4124" w:type="dxa"/>
                  <w:vAlign w:val="center"/>
                </w:tcPr>
                <w:p w14:paraId="61F466CA">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lang w:val="en-US" w:eastAsia="zh-CN"/>
                    </w:rPr>
                    <w:t>详细参数</w:t>
                  </w:r>
                </w:p>
              </w:tc>
              <w:tc>
                <w:tcPr>
                  <w:tcW w:w="905" w:type="dxa"/>
                  <w:vAlign w:val="center"/>
                </w:tcPr>
                <w:p w14:paraId="3D06AC6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计量</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单位</w:t>
                  </w:r>
                </w:p>
              </w:tc>
              <w:tc>
                <w:tcPr>
                  <w:tcW w:w="924" w:type="dxa"/>
                  <w:vAlign w:val="center"/>
                </w:tcPr>
                <w:p w14:paraId="0F1CB0D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数量</w:t>
                  </w:r>
                </w:p>
              </w:tc>
            </w:tr>
            <w:tr w14:paraId="052A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B4B93B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390" w:type="dxa"/>
                  <w:vAlign w:val="center"/>
                </w:tcPr>
                <w:p w14:paraId="61C8CBA1">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日常巡检</w:t>
                  </w:r>
                </w:p>
              </w:tc>
              <w:tc>
                <w:tcPr>
                  <w:tcW w:w="4124" w:type="dxa"/>
                  <w:vAlign w:val="center"/>
                </w:tcPr>
                <w:p w14:paraId="6FB9060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1、两天巡检一次，一台车配两个人，</w:t>
                  </w:r>
                  <w:r>
                    <w:rPr>
                      <w:rFonts w:hint="eastAsia" w:ascii="宋体" w:hAnsi="宋体" w:cs="宋体"/>
                      <w:i w:val="0"/>
                      <w:iCs w:val="0"/>
                      <w:color w:val="auto"/>
                      <w:kern w:val="0"/>
                      <w:sz w:val="20"/>
                      <w:szCs w:val="20"/>
                      <w:highlight w:val="none"/>
                      <w:u w:val="none"/>
                      <w:lang w:val="en-US" w:eastAsia="zh-CN" w:bidi="ar"/>
                    </w:rPr>
                    <w:t>合同期内不少于</w:t>
                  </w:r>
                  <w:r>
                    <w:rPr>
                      <w:rFonts w:hint="eastAsia" w:ascii="宋体" w:hAnsi="宋体" w:eastAsia="宋体" w:cs="宋体"/>
                      <w:i w:val="0"/>
                      <w:iCs w:val="0"/>
                      <w:color w:val="auto"/>
                      <w:kern w:val="0"/>
                      <w:sz w:val="20"/>
                      <w:szCs w:val="20"/>
                      <w:highlight w:val="none"/>
                      <w:u w:val="none"/>
                      <w:lang w:val="en-US" w:eastAsia="zh-CN" w:bidi="ar"/>
                    </w:rPr>
                    <w:t xml:space="preserve">365次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0C43BBD1">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次</w:t>
                  </w:r>
                </w:p>
              </w:tc>
              <w:tc>
                <w:tcPr>
                  <w:tcW w:w="924" w:type="dxa"/>
                  <w:vAlign w:val="center"/>
                </w:tcPr>
                <w:p w14:paraId="26A46E53">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365.000</w:t>
                  </w:r>
                </w:p>
              </w:tc>
            </w:tr>
            <w:tr w14:paraId="00B4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C4AB7B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390" w:type="dxa"/>
                  <w:vAlign w:val="center"/>
                </w:tcPr>
                <w:p w14:paraId="7214614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上门服务费</w:t>
                  </w:r>
                </w:p>
              </w:tc>
              <w:tc>
                <w:tcPr>
                  <w:tcW w:w="4124" w:type="dxa"/>
                  <w:vAlign w:val="center"/>
                </w:tcPr>
                <w:p w14:paraId="36A4BBCC">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1、一周上门服务1次计算，</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72AD60A4">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24" w:type="dxa"/>
                  <w:vAlign w:val="center"/>
                </w:tcPr>
                <w:p w14:paraId="2470F9F7">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104.000</w:t>
                  </w:r>
                </w:p>
              </w:tc>
            </w:tr>
            <w:tr w14:paraId="7446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CB6BD3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390" w:type="dxa"/>
                  <w:vAlign w:val="center"/>
                </w:tcPr>
                <w:p w14:paraId="687BD431">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球机/枪机检修</w:t>
                  </w:r>
                </w:p>
              </w:tc>
              <w:tc>
                <w:tcPr>
                  <w:tcW w:w="4124" w:type="dxa"/>
                  <w:vAlign w:val="center"/>
                </w:tcPr>
                <w:p w14:paraId="4012223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1、前端视频监控球型机检测及修复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6F1109B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24" w:type="dxa"/>
                  <w:vAlign w:val="center"/>
                </w:tcPr>
                <w:p w14:paraId="4042CD7B">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115.000</w:t>
                  </w:r>
                </w:p>
              </w:tc>
            </w:tr>
            <w:tr w14:paraId="5A23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62DCF7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390" w:type="dxa"/>
                  <w:vAlign w:val="center"/>
                </w:tcPr>
                <w:p w14:paraId="1332D35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智能箱检修</w:t>
                  </w:r>
                </w:p>
              </w:tc>
              <w:tc>
                <w:tcPr>
                  <w:tcW w:w="4124" w:type="dxa"/>
                  <w:vAlign w:val="center"/>
                </w:tcPr>
                <w:p w14:paraId="01906C2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1、智能箱体设备检查测试及修复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62EE129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24" w:type="dxa"/>
                  <w:vAlign w:val="center"/>
                </w:tcPr>
                <w:p w14:paraId="62E31C13">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115.000</w:t>
                  </w:r>
                </w:p>
              </w:tc>
            </w:tr>
            <w:tr w14:paraId="5782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3DEE52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390" w:type="dxa"/>
                  <w:vAlign w:val="center"/>
                </w:tcPr>
                <w:p w14:paraId="3F0D89F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光纤收发器检修</w:t>
                  </w:r>
                </w:p>
              </w:tc>
              <w:tc>
                <w:tcPr>
                  <w:tcW w:w="4124" w:type="dxa"/>
                  <w:vAlign w:val="center"/>
                </w:tcPr>
                <w:p w14:paraId="2C913C8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1、前端光纤收发器设备检测及修复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066A9645">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24" w:type="dxa"/>
                  <w:vAlign w:val="center"/>
                </w:tcPr>
                <w:p w14:paraId="2B26637A">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115.000</w:t>
                  </w:r>
                </w:p>
              </w:tc>
            </w:tr>
            <w:tr w14:paraId="5658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AF9B08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390" w:type="dxa"/>
                  <w:vAlign w:val="center"/>
                </w:tcPr>
                <w:p w14:paraId="0F218B2E">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电源检修</w:t>
                  </w:r>
                </w:p>
              </w:tc>
              <w:tc>
                <w:tcPr>
                  <w:tcW w:w="4124" w:type="dxa"/>
                  <w:vAlign w:val="center"/>
                </w:tcPr>
                <w:p w14:paraId="1E7D14F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1、设备电源、供电电源的检查及修复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69DD6D9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24" w:type="dxa"/>
                  <w:vAlign w:val="center"/>
                </w:tcPr>
                <w:p w14:paraId="5034EBEC">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115.000</w:t>
                  </w:r>
                </w:p>
              </w:tc>
            </w:tr>
            <w:tr w14:paraId="659F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3" w:type="dxa"/>
                  <w:vAlign w:val="center"/>
                </w:tcPr>
                <w:p w14:paraId="13A6BC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1390" w:type="dxa"/>
                  <w:shd w:val="clear" w:color="auto" w:fill="FFFFFF"/>
                  <w:vAlign w:val="center"/>
                </w:tcPr>
                <w:p w14:paraId="6FFFE5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监控及相关线路管道改造</w:t>
                  </w:r>
                </w:p>
              </w:tc>
              <w:tc>
                <w:tcPr>
                  <w:tcW w:w="4124" w:type="dxa"/>
                  <w:shd w:val="clear" w:color="auto" w:fill="FFFFFF"/>
                  <w:vAlign w:val="center"/>
                </w:tcPr>
                <w:p w14:paraId="4FB260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color w:val="auto"/>
                      <w:highlight w:val="none"/>
                      <w:lang w:val="en-US" w:eastAsia="zh-CN"/>
                    </w:rPr>
                    <w:t>预计每个点位涉及150米左右长度的改造</w:t>
                  </w:r>
                </w:p>
              </w:tc>
              <w:tc>
                <w:tcPr>
                  <w:tcW w:w="905" w:type="dxa"/>
                  <w:shd w:val="clear" w:color="auto" w:fill="FFFFFF"/>
                  <w:vAlign w:val="center"/>
                </w:tcPr>
                <w:p w14:paraId="591AB1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点位</w:t>
                  </w:r>
                </w:p>
              </w:tc>
              <w:tc>
                <w:tcPr>
                  <w:tcW w:w="924" w:type="dxa"/>
                  <w:vAlign w:val="center"/>
                </w:tcPr>
                <w:p w14:paraId="23B8E7F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63</w:t>
                  </w:r>
                </w:p>
              </w:tc>
            </w:tr>
            <w:tr w14:paraId="45A5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97E15E5">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7.1</w:t>
                  </w:r>
                </w:p>
              </w:tc>
              <w:tc>
                <w:tcPr>
                  <w:tcW w:w="1390" w:type="dxa"/>
                  <w:vAlign w:val="center"/>
                </w:tcPr>
                <w:p w14:paraId="1A1791D1">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沙井维修 400*600</w:t>
                  </w:r>
                </w:p>
              </w:tc>
              <w:tc>
                <w:tcPr>
                  <w:tcW w:w="4124" w:type="dxa"/>
                  <w:vAlign w:val="center"/>
                </w:tcPr>
                <w:p w14:paraId="59858DF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1、沙井维修 400*600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905" w:type="dxa"/>
                  <w:vAlign w:val="center"/>
                </w:tcPr>
                <w:p w14:paraId="3308BEA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座</w:t>
                  </w:r>
                </w:p>
              </w:tc>
              <w:tc>
                <w:tcPr>
                  <w:tcW w:w="924" w:type="dxa"/>
                  <w:vAlign w:val="center"/>
                </w:tcPr>
                <w:p w14:paraId="772389DF">
                  <w:pPr>
                    <w:keepNext w:val="0"/>
                    <w:keepLines w:val="0"/>
                    <w:widowControl/>
                    <w:suppressLineNumbers w:val="0"/>
                    <w:jc w:val="right"/>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一批</w:t>
                  </w:r>
                </w:p>
              </w:tc>
            </w:tr>
            <w:tr w14:paraId="0ABA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1BF6DBF">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7.2</w:t>
                  </w:r>
                </w:p>
              </w:tc>
              <w:tc>
                <w:tcPr>
                  <w:tcW w:w="1390" w:type="dxa"/>
                  <w:vAlign w:val="center"/>
                </w:tcPr>
                <w:p w14:paraId="30ACE1F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挖一般土方</w:t>
                  </w:r>
                </w:p>
              </w:tc>
              <w:tc>
                <w:tcPr>
                  <w:tcW w:w="4124" w:type="dxa"/>
                  <w:vAlign w:val="center"/>
                </w:tcPr>
                <w:p w14:paraId="1CF8D89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1、人工挖一般土方 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2、挖掘机挖一般土方 一、二类土</w:t>
                  </w:r>
                </w:p>
              </w:tc>
              <w:tc>
                <w:tcPr>
                  <w:tcW w:w="905" w:type="dxa"/>
                  <w:vAlign w:val="center"/>
                </w:tcPr>
                <w:p w14:paraId="124B8DE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m3</w:t>
                  </w:r>
                </w:p>
              </w:tc>
              <w:tc>
                <w:tcPr>
                  <w:tcW w:w="924" w:type="dxa"/>
                  <w:vAlign w:val="center"/>
                </w:tcPr>
                <w:p w14:paraId="5493A6E7">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5212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C2AEB92">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7.3</w:t>
                  </w:r>
                </w:p>
              </w:tc>
              <w:tc>
                <w:tcPr>
                  <w:tcW w:w="1390" w:type="dxa"/>
                  <w:vAlign w:val="center"/>
                </w:tcPr>
                <w:p w14:paraId="134CBA1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4124" w:type="dxa"/>
                  <w:vAlign w:val="center"/>
                </w:tcPr>
                <w:p w14:paraId="2AAFA959">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1、回填土 夯实机夯实 槽、坑</w:t>
                  </w:r>
                </w:p>
              </w:tc>
              <w:tc>
                <w:tcPr>
                  <w:tcW w:w="905" w:type="dxa"/>
                  <w:vAlign w:val="center"/>
                </w:tcPr>
                <w:p w14:paraId="493599E4">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m3</w:t>
                  </w:r>
                </w:p>
              </w:tc>
              <w:tc>
                <w:tcPr>
                  <w:tcW w:w="924" w:type="dxa"/>
                  <w:vAlign w:val="center"/>
                </w:tcPr>
                <w:p w14:paraId="630C6384">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7544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224302E">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7.4</w:t>
                  </w:r>
                </w:p>
              </w:tc>
              <w:tc>
                <w:tcPr>
                  <w:tcW w:w="1390" w:type="dxa"/>
                  <w:vAlign w:val="center"/>
                </w:tcPr>
                <w:p w14:paraId="03E80EF9">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拆除路面</w:t>
                  </w:r>
                </w:p>
              </w:tc>
              <w:tc>
                <w:tcPr>
                  <w:tcW w:w="4124" w:type="dxa"/>
                  <w:vAlign w:val="center"/>
                </w:tcPr>
                <w:p w14:paraId="0B965A9E">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1、小型机械拆除混凝土类路面层 无筋 厚15cm内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2、自卸汽车运石方 运距5km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3、挖掘机挖装松散石方</w:t>
                  </w:r>
                </w:p>
              </w:tc>
              <w:tc>
                <w:tcPr>
                  <w:tcW w:w="905" w:type="dxa"/>
                  <w:vAlign w:val="center"/>
                </w:tcPr>
                <w:p w14:paraId="4C30A0F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m2</w:t>
                  </w:r>
                </w:p>
              </w:tc>
              <w:tc>
                <w:tcPr>
                  <w:tcW w:w="924" w:type="dxa"/>
                  <w:vAlign w:val="center"/>
                </w:tcPr>
                <w:p w14:paraId="7F285CC0">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41EF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F6A2263">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7.5</w:t>
                  </w:r>
                </w:p>
              </w:tc>
              <w:tc>
                <w:tcPr>
                  <w:tcW w:w="1390" w:type="dxa"/>
                  <w:vAlign w:val="center"/>
                </w:tcPr>
                <w:p w14:paraId="6DD69AAB">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水泥混凝土</w:t>
                  </w:r>
                </w:p>
              </w:tc>
              <w:tc>
                <w:tcPr>
                  <w:tcW w:w="4124" w:type="dxa"/>
                  <w:vAlign w:val="center"/>
                </w:tcPr>
                <w:p w14:paraId="4510FF9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1、水泥混凝土路面 厚度 20cm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2、水泥混凝土路面养生 水养生</w:t>
                  </w:r>
                </w:p>
              </w:tc>
              <w:tc>
                <w:tcPr>
                  <w:tcW w:w="905" w:type="dxa"/>
                  <w:vAlign w:val="center"/>
                </w:tcPr>
                <w:p w14:paraId="0454E70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m2</w:t>
                  </w:r>
                </w:p>
              </w:tc>
              <w:tc>
                <w:tcPr>
                  <w:tcW w:w="924" w:type="dxa"/>
                  <w:vAlign w:val="center"/>
                </w:tcPr>
                <w:p w14:paraId="7D606B7A">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2436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14ACC40">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7.6</w:t>
                  </w:r>
                </w:p>
              </w:tc>
              <w:tc>
                <w:tcPr>
                  <w:tcW w:w="1390" w:type="dxa"/>
                  <w:vAlign w:val="center"/>
                </w:tcPr>
                <w:p w14:paraId="7734EC7C">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水平导向钻进 φ110</w:t>
                  </w:r>
                </w:p>
              </w:tc>
              <w:tc>
                <w:tcPr>
                  <w:tcW w:w="4124" w:type="dxa"/>
                  <w:vAlign w:val="center"/>
                </w:tcPr>
                <w:p w14:paraId="3362AFF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1、钻导向孔 DN≤300mm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2、扩孔 DN200mm以内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3、塑料管安装(对接熔接) 管外径110mm以内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4、PE管 De110 1.0Mpa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5、PE塑料管件 De110</w:t>
                  </w:r>
                </w:p>
              </w:tc>
              <w:tc>
                <w:tcPr>
                  <w:tcW w:w="905" w:type="dxa"/>
                  <w:vAlign w:val="center"/>
                </w:tcPr>
                <w:p w14:paraId="4B48907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924" w:type="dxa"/>
                  <w:vAlign w:val="center"/>
                </w:tcPr>
                <w:p w14:paraId="3BD5940C">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1C5F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047BCAC">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7.7</w:t>
                  </w:r>
                </w:p>
              </w:tc>
              <w:tc>
                <w:tcPr>
                  <w:tcW w:w="1390" w:type="dxa"/>
                  <w:vAlign w:val="center"/>
                </w:tcPr>
                <w:p w14:paraId="7F99816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配管 PVC32</w:t>
                  </w:r>
                </w:p>
              </w:tc>
              <w:tc>
                <w:tcPr>
                  <w:tcW w:w="4124" w:type="dxa"/>
                  <w:vAlign w:val="center"/>
                </w:tcPr>
                <w:p w14:paraId="0AC601C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1、刚性难燃线管埋地敷设 公称直径（mm以内） 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2、刚性难燃管 PVC32</w:t>
                  </w:r>
                </w:p>
              </w:tc>
              <w:tc>
                <w:tcPr>
                  <w:tcW w:w="905" w:type="dxa"/>
                  <w:vAlign w:val="center"/>
                </w:tcPr>
                <w:p w14:paraId="3815ED5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924" w:type="dxa"/>
                  <w:vAlign w:val="center"/>
                </w:tcPr>
                <w:p w14:paraId="188979BB">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34B8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1593E2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7.8</w:t>
                  </w:r>
                </w:p>
              </w:tc>
              <w:tc>
                <w:tcPr>
                  <w:tcW w:w="1390" w:type="dxa"/>
                  <w:vAlign w:val="center"/>
                </w:tcPr>
                <w:p w14:paraId="700CEE3B">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配线 RVV-3*2.5</w:t>
                  </w:r>
                </w:p>
              </w:tc>
              <w:tc>
                <w:tcPr>
                  <w:tcW w:w="4124" w:type="dxa"/>
                  <w:vAlign w:val="center"/>
                </w:tcPr>
                <w:p w14:paraId="6216184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1、多芯软导线管内穿线(芯以内) 四芯 导线截面(mm2以内) 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2、电缆线 RVV-3*2.5</w:t>
                  </w:r>
                </w:p>
              </w:tc>
              <w:tc>
                <w:tcPr>
                  <w:tcW w:w="905" w:type="dxa"/>
                  <w:vAlign w:val="center"/>
                </w:tcPr>
                <w:p w14:paraId="2F785085">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924" w:type="dxa"/>
                  <w:vAlign w:val="center"/>
                </w:tcPr>
                <w:p w14:paraId="037DFF29">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3B0D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997AD9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7.9</w:t>
                  </w:r>
                </w:p>
              </w:tc>
              <w:tc>
                <w:tcPr>
                  <w:tcW w:w="1390" w:type="dxa"/>
                  <w:shd w:val="clear" w:color="auto" w:fill="FFFFFF"/>
                  <w:vAlign w:val="center"/>
                </w:tcPr>
                <w:p w14:paraId="49B770E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网线</w:t>
                  </w:r>
                </w:p>
              </w:tc>
              <w:tc>
                <w:tcPr>
                  <w:tcW w:w="4124" w:type="dxa"/>
                  <w:shd w:val="clear" w:color="auto" w:fill="FFFFFF"/>
                  <w:vAlign w:val="center"/>
                </w:tcPr>
                <w:p w14:paraId="38FC699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1、敷设双绞线缆或电话线管、暗槽内穿放(对以内) 4</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2、超五类非屏蔽双绞线</w:t>
                  </w:r>
                </w:p>
              </w:tc>
              <w:tc>
                <w:tcPr>
                  <w:tcW w:w="905" w:type="dxa"/>
                  <w:shd w:val="clear" w:color="auto" w:fill="FFFFFF"/>
                  <w:vAlign w:val="center"/>
                </w:tcPr>
                <w:p w14:paraId="237C13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m</w:t>
                  </w:r>
                </w:p>
              </w:tc>
              <w:tc>
                <w:tcPr>
                  <w:tcW w:w="924" w:type="dxa"/>
                  <w:shd w:val="clear" w:color="auto" w:fill="FFFFFF"/>
                  <w:vAlign w:val="center"/>
                </w:tcPr>
                <w:p w14:paraId="10C4DA7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1批</w:t>
                  </w:r>
                </w:p>
              </w:tc>
            </w:tr>
          </w:tbl>
          <w:p w14:paraId="06147A6C">
            <w:pPr>
              <w:pStyle w:val="11"/>
              <w:numPr>
                <w:ilvl w:val="0"/>
                <w:numId w:val="0"/>
              </w:numPr>
              <w:jc w:val="both"/>
              <w:rPr>
                <w:rFonts w:hint="eastAsia"/>
                <w:b/>
                <w:bCs/>
                <w:color w:val="auto"/>
                <w:highlight w:val="none"/>
                <w:lang w:eastAsia="zh-CN"/>
              </w:rPr>
            </w:pPr>
          </w:p>
        </w:tc>
      </w:tr>
      <w:tr w14:paraId="191ED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E540A54">
            <w:pPr>
              <w:rPr>
                <w:color w:val="auto"/>
                <w:highlight w:val="none"/>
              </w:rPr>
            </w:pPr>
          </w:p>
        </w:tc>
        <w:tc>
          <w:tcPr>
            <w:tcW w:w="243" w:type="pct"/>
          </w:tcPr>
          <w:p w14:paraId="4D87D9DC">
            <w:pPr>
              <w:pStyle w:val="11"/>
              <w:jc w:val="center"/>
              <w:rPr>
                <w:rFonts w:hint="eastAsia" w:eastAsia="宋体"/>
                <w:color w:val="auto"/>
                <w:highlight w:val="none"/>
                <w:lang w:eastAsia="zh-CN"/>
              </w:rPr>
            </w:pPr>
            <w:r>
              <w:rPr>
                <w:rFonts w:hint="eastAsia"/>
                <w:color w:val="auto"/>
                <w:highlight w:val="none"/>
                <w:lang w:val="en-US" w:eastAsia="zh-CN"/>
              </w:rPr>
              <w:t>4</w:t>
            </w:r>
          </w:p>
        </w:tc>
        <w:tc>
          <w:tcPr>
            <w:tcW w:w="4333" w:type="pct"/>
          </w:tcPr>
          <w:p w14:paraId="51AB9465">
            <w:pPr>
              <w:pStyle w:val="11"/>
              <w:numPr>
                <w:ilvl w:val="0"/>
                <w:numId w:val="15"/>
              </w:numPr>
              <w:jc w:val="both"/>
              <w:rPr>
                <w:rFonts w:hint="eastAsia" w:eastAsia="宋体"/>
                <w:color w:val="auto"/>
                <w:highlight w:val="none"/>
                <w:lang w:eastAsia="zh-CN"/>
              </w:rPr>
            </w:pPr>
            <w:r>
              <w:rPr>
                <w:rFonts w:hint="eastAsia"/>
                <w:b/>
                <w:bCs/>
                <w:color w:val="auto"/>
                <w:highlight w:val="none"/>
              </w:rPr>
              <w:t>光纤线路租赁及数据存储</w:t>
            </w:r>
            <w:r>
              <w:rPr>
                <w:rFonts w:hint="eastAsia"/>
                <w:b/>
                <w:bCs/>
                <w:color w:val="auto"/>
                <w:highlight w:val="none"/>
                <w:lang w:eastAsia="zh-CN"/>
              </w:rPr>
              <w:t>清单</w:t>
            </w:r>
            <w:r>
              <w:rPr>
                <w:rFonts w:hint="eastAsia"/>
                <w:b/>
                <w:bCs/>
                <w:color w:val="auto"/>
                <w:highlight w:val="none"/>
                <w:lang w:val="en-US" w:eastAsia="zh-CN"/>
              </w:rPr>
              <w:t>及详细参数</w:t>
            </w:r>
          </w:p>
          <w:tbl>
            <w:tblPr>
              <w:tblStyle w:val="8"/>
              <w:tblW w:w="839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092"/>
              <w:gridCol w:w="5009"/>
              <w:gridCol w:w="661"/>
              <w:gridCol w:w="1022"/>
            </w:tblGrid>
            <w:tr w14:paraId="294A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AB3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序号</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D67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项目名称</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5DB4B">
                  <w:pPr>
                    <w:pStyle w:val="11"/>
                    <w:numPr>
                      <w:ilvl w:val="0"/>
                      <w:numId w:val="0"/>
                    </w:numPr>
                    <w:jc w:val="center"/>
                    <w:rPr>
                      <w:rFonts w:hint="default"/>
                      <w:b/>
                      <w:bCs/>
                      <w:color w:val="auto"/>
                      <w:highlight w:val="none"/>
                      <w:lang w:val="en-US" w:eastAsia="zh-CN"/>
                    </w:rPr>
                  </w:pPr>
                  <w:r>
                    <w:rPr>
                      <w:rFonts w:hint="eastAsia"/>
                      <w:b/>
                      <w:bCs/>
                      <w:color w:val="auto"/>
                      <w:highlight w:val="none"/>
                      <w:lang w:val="en-US" w:eastAsia="zh-CN"/>
                    </w:rPr>
                    <w:t>详细参数</w:t>
                  </w:r>
                </w:p>
                <w:p w14:paraId="15A9EF14">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8B9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计量</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单位</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9341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工程数量</w:t>
                  </w:r>
                </w:p>
              </w:tc>
            </w:tr>
            <w:tr w14:paraId="5526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CF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0D5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光纤链路</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5167A">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1、光纤链路费用:运营商点对点裸光纤链路租用，含故障修复。含前端设备电费</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w:t>
                  </w: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88F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6B0B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115.000</w:t>
                  </w:r>
                </w:p>
              </w:tc>
            </w:tr>
            <w:tr w14:paraId="1B9A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AFB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024C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光模块收发器</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CE6A">
                  <w:pPr>
                    <w:keepNext w:val="0"/>
                    <w:keepLines w:val="0"/>
                    <w:widowControl/>
                    <w:numPr>
                      <w:ilvl w:val="0"/>
                      <w:numId w:val="16"/>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rPr>
                    <w:t>含机房A端</w:t>
                  </w:r>
                  <w:r>
                    <w:rPr>
                      <w:rFonts w:hint="eastAsia" w:ascii="宋体" w:hAnsi="宋体" w:cs="宋体"/>
                      <w:i w:val="0"/>
                      <w:iCs w:val="0"/>
                      <w:color w:val="auto"/>
                      <w:kern w:val="0"/>
                      <w:sz w:val="21"/>
                      <w:szCs w:val="21"/>
                      <w:highlight w:val="none"/>
                      <w:u w:val="none"/>
                      <w:lang w:val="en-US" w:eastAsia="zh-CN"/>
                    </w:rPr>
                    <w:t>千兆光模块</w:t>
                  </w:r>
                  <w:r>
                    <w:rPr>
                      <w:rFonts w:hint="eastAsia" w:ascii="宋体" w:hAnsi="宋体" w:eastAsia="宋体" w:cs="宋体"/>
                      <w:i w:val="0"/>
                      <w:iCs w:val="0"/>
                      <w:color w:val="auto"/>
                      <w:kern w:val="0"/>
                      <w:sz w:val="21"/>
                      <w:szCs w:val="21"/>
                      <w:highlight w:val="none"/>
                      <w:u w:val="none"/>
                      <w:lang w:val="en-US" w:eastAsia="zh-CN"/>
                    </w:rPr>
                    <w:t>和杆体B端两光八电口全千兆收发器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2、用于杆体上的箱体中，防雷抗干扰耐高温</w:t>
                  </w:r>
                </w:p>
                <w:p w14:paraId="3E78BD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满足项目技术要求</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9E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B526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115.000</w:t>
                  </w:r>
                </w:p>
              </w:tc>
            </w:tr>
            <w:tr w14:paraId="6B7D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80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AFC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布放尾纤</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FFF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1、布放尾纤光纤配线架内跳线</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2、尾纤 3m双头</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F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402D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lang w:val="en-US" w:eastAsia="zh-CN"/>
                    </w:rPr>
                  </w:pPr>
                  <w:r>
                    <w:rPr>
                      <w:rFonts w:hint="default" w:ascii="宋体" w:hAnsi="宋体" w:eastAsia="宋体" w:cs="宋体"/>
                      <w:i w:val="0"/>
                      <w:iCs w:val="0"/>
                      <w:color w:val="auto"/>
                      <w:kern w:val="0"/>
                      <w:sz w:val="21"/>
                      <w:szCs w:val="21"/>
                      <w:highlight w:val="none"/>
                      <w:u w:val="none"/>
                      <w:lang w:val="en-US" w:eastAsia="zh-CN"/>
                    </w:rPr>
                    <w:t>230.000</w:t>
                  </w:r>
                </w:p>
              </w:tc>
            </w:tr>
            <w:tr w14:paraId="6CA6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E7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9B1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光纤收发器收纳柜</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855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1、线管理器安装 2U</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2、光纤收发器收纳柜 机构：2U机架式 电源配置：双电源热备份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电源输入：AC110-265V   电源输出：DC5V12A</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3、满足项目技术要求。</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D2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46BC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10.000</w:t>
                  </w:r>
                </w:p>
              </w:tc>
            </w:tr>
            <w:tr w14:paraId="628A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04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A11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磁盘阵列</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9B90D">
                  <w:pPr>
                    <w:pStyle w:val="11"/>
                    <w:jc w:val="both"/>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参数要求与“</w:t>
                  </w:r>
                  <w:r>
                    <w:rPr>
                      <w:rFonts w:hint="eastAsia"/>
                      <w:color w:val="auto"/>
                      <w:sz w:val="21"/>
                      <w:highlight w:val="none"/>
                      <w:lang w:val="en-US" w:eastAsia="zh-CN"/>
                    </w:rPr>
                    <w:t>2、详细技术参数”中的一致。</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01D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A651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1.000</w:t>
                  </w:r>
                </w:p>
              </w:tc>
            </w:tr>
            <w:tr w14:paraId="13C8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99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BF77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存储设备</w:t>
                  </w:r>
                </w:p>
              </w:tc>
              <w:tc>
                <w:tcPr>
                  <w:tcW w:w="5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562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不少于</w:t>
                  </w:r>
                  <w:r>
                    <w:rPr>
                      <w:rFonts w:hint="eastAsia" w:ascii="宋体" w:hAnsi="宋体" w:eastAsia="宋体" w:cs="宋体"/>
                      <w:i w:val="0"/>
                      <w:iCs w:val="0"/>
                      <w:color w:val="auto"/>
                      <w:kern w:val="0"/>
                      <w:sz w:val="21"/>
                      <w:szCs w:val="21"/>
                      <w:highlight w:val="none"/>
                      <w:u w:val="none"/>
                      <w:lang w:val="en-US" w:eastAsia="zh-CN"/>
                    </w:rPr>
                    <w:t>8TB容量，3.5英寸，SATA3.0接口，7200RPM</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C969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AF900">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30</w:t>
                  </w:r>
                  <w:r>
                    <w:rPr>
                      <w:rFonts w:hint="eastAsia" w:ascii="宋体" w:hAnsi="宋体" w:eastAsia="宋体" w:cs="宋体"/>
                      <w:i w:val="0"/>
                      <w:iCs w:val="0"/>
                      <w:color w:val="auto"/>
                      <w:kern w:val="0"/>
                      <w:sz w:val="21"/>
                      <w:szCs w:val="21"/>
                      <w:highlight w:val="none"/>
                      <w:u w:val="none"/>
                      <w:lang w:val="en-US" w:eastAsia="zh-CN"/>
                    </w:rPr>
                    <w:t>.000</w:t>
                  </w:r>
                </w:p>
              </w:tc>
            </w:tr>
          </w:tbl>
          <w:p w14:paraId="5A376B87">
            <w:pPr>
              <w:pStyle w:val="11"/>
              <w:numPr>
                <w:ilvl w:val="0"/>
                <w:numId w:val="0"/>
              </w:numPr>
              <w:jc w:val="both"/>
              <w:rPr>
                <w:rFonts w:hint="eastAsia" w:ascii="宋体" w:hAnsi="宋体" w:eastAsia="宋体" w:cs="宋体"/>
                <w:i w:val="0"/>
                <w:iCs w:val="0"/>
                <w:color w:val="auto"/>
                <w:kern w:val="0"/>
                <w:sz w:val="21"/>
                <w:szCs w:val="21"/>
                <w:highlight w:val="none"/>
                <w:u w:val="none"/>
                <w:lang w:val="en-US" w:eastAsia="zh-CN"/>
              </w:rPr>
            </w:pPr>
          </w:p>
          <w:p w14:paraId="2525EABB">
            <w:pPr>
              <w:pStyle w:val="11"/>
              <w:numPr>
                <w:ilvl w:val="0"/>
                <w:numId w:val="0"/>
              </w:numPr>
              <w:jc w:val="both"/>
              <w:rPr>
                <w:rFonts w:hint="eastAsia" w:ascii="宋体" w:hAnsi="宋体" w:eastAsia="宋体" w:cs="宋体"/>
                <w:i w:val="0"/>
                <w:iCs w:val="0"/>
                <w:color w:val="auto"/>
                <w:kern w:val="0"/>
                <w:sz w:val="21"/>
                <w:szCs w:val="21"/>
                <w:highlight w:val="none"/>
                <w:u w:val="none"/>
                <w:lang w:val="en-US" w:eastAsia="zh-CN"/>
              </w:rPr>
            </w:pPr>
          </w:p>
        </w:tc>
      </w:tr>
      <w:tr w14:paraId="5A26D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037812C4">
            <w:pPr>
              <w:pStyle w:val="11"/>
              <w:rPr>
                <w:color w:val="auto"/>
                <w:highlight w:val="none"/>
              </w:rPr>
            </w:pPr>
            <w:r>
              <w:rPr>
                <w:color w:val="auto"/>
                <w:highlight w:val="none"/>
              </w:rPr>
              <w:t>说明</w:t>
            </w:r>
          </w:p>
        </w:tc>
        <w:tc>
          <w:tcPr>
            <w:tcW w:w="4577" w:type="pct"/>
            <w:gridSpan w:val="2"/>
          </w:tcPr>
          <w:p w14:paraId="1494CA27">
            <w:pPr>
              <w:pStyle w:val="11"/>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453B8194">
      <w:pPr>
        <w:rPr>
          <w:color w:val="auto"/>
          <w:highlight w:val="none"/>
        </w:rPr>
      </w:pPr>
      <w:r>
        <w:rPr>
          <w:color w:val="auto"/>
          <w:highlight w:val="none"/>
        </w:rPr>
        <w:br w:type="page"/>
      </w:r>
    </w:p>
    <w:p w14:paraId="174F31C3">
      <w:pPr>
        <w:pStyle w:val="2"/>
        <w:keepNext/>
        <w:keepLines/>
        <w:pageBreakBefore w:val="0"/>
        <w:widowControl w:val="0"/>
        <w:kinsoku/>
        <w:wordWrap/>
        <w:overflowPunct/>
        <w:topLinePunct w:val="0"/>
        <w:autoSpaceDE/>
        <w:autoSpaceDN/>
        <w:bidi w:val="0"/>
        <w:adjustRightInd/>
        <w:snapToGrid/>
        <w:spacing w:line="360" w:lineRule="auto"/>
        <w:textAlignment w:val="auto"/>
        <w:rPr>
          <w:b/>
          <w:color w:val="auto"/>
          <w:sz w:val="21"/>
          <w:szCs w:val="21"/>
          <w:highlight w:val="none"/>
        </w:rPr>
      </w:pPr>
      <w:r>
        <w:rPr>
          <w:color w:val="auto"/>
          <w:sz w:val="21"/>
          <w:szCs w:val="21"/>
          <w:highlight w:val="none"/>
        </w:rPr>
        <w:t>采购包</w:t>
      </w:r>
      <w:r>
        <w:rPr>
          <w:rFonts w:hint="eastAsia"/>
          <w:color w:val="auto"/>
          <w:sz w:val="21"/>
          <w:szCs w:val="21"/>
          <w:highlight w:val="none"/>
          <w:lang w:val="en-US" w:eastAsia="zh-CN"/>
        </w:rPr>
        <w:t>2</w:t>
      </w:r>
      <w:r>
        <w:rPr>
          <w:rFonts w:hint="eastAsia"/>
          <w:color w:val="auto"/>
          <w:sz w:val="21"/>
          <w:szCs w:val="21"/>
          <w:highlight w:val="none"/>
          <w:lang w:eastAsia="zh-CN"/>
        </w:rPr>
        <w:t>：</w:t>
      </w:r>
      <w:r>
        <w:rPr>
          <w:b/>
          <w:color w:val="auto"/>
          <w:sz w:val="21"/>
          <w:szCs w:val="21"/>
          <w:highlight w:val="none"/>
        </w:rPr>
        <w:t>（</w:t>
      </w:r>
      <w:r>
        <w:rPr>
          <w:rFonts w:hint="eastAsia"/>
          <w:b/>
          <w:color w:val="auto"/>
          <w:sz w:val="21"/>
          <w:szCs w:val="21"/>
          <w:highlight w:val="none"/>
          <w:lang w:val="en-US" w:eastAsia="zh-CN"/>
        </w:rPr>
        <w:t>2024年视频监控项目——二期设备升级及运维和光纤线路租赁及数据存储项目</w:t>
      </w:r>
      <w:r>
        <w:rPr>
          <w:b/>
          <w:color w:val="auto"/>
          <w:sz w:val="21"/>
          <w:szCs w:val="21"/>
          <w:highlight w:val="none"/>
        </w:rPr>
        <w:t>）</w:t>
      </w:r>
    </w:p>
    <w:p w14:paraId="64FA1CAC">
      <w:pPr>
        <w:pStyle w:val="11"/>
        <w:outlineLvl w:val="2"/>
        <w:rPr>
          <w:b/>
          <w:color w:val="auto"/>
          <w:sz w:val="24"/>
          <w:szCs w:val="24"/>
          <w:highlight w:val="none"/>
        </w:rPr>
      </w:pPr>
      <w:r>
        <w:rPr>
          <w:b/>
          <w:color w:val="auto"/>
          <w:sz w:val="24"/>
          <w:szCs w:val="24"/>
          <w:highlight w:val="none"/>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8709"/>
      </w:tblGrid>
      <w:tr w14:paraId="153A9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 w:hRule="atLeast"/>
        </w:trPr>
        <w:tc>
          <w:tcPr>
            <w:tcW w:w="1155" w:type="dxa"/>
          </w:tcPr>
          <w:p w14:paraId="5E04F60B">
            <w:pPr>
              <w:pStyle w:val="11"/>
              <w:rPr>
                <w:color w:val="auto"/>
                <w:highlight w:val="none"/>
              </w:rPr>
            </w:pPr>
            <w:r>
              <w:rPr>
                <w:color w:val="auto"/>
                <w:highlight w:val="none"/>
              </w:rPr>
              <w:t>标的提供的时间</w:t>
            </w:r>
          </w:p>
        </w:tc>
        <w:tc>
          <w:tcPr>
            <w:tcW w:w="8709" w:type="dxa"/>
          </w:tcPr>
          <w:p w14:paraId="119242F7">
            <w:pPr>
              <w:numPr>
                <w:ilvl w:val="0"/>
                <w:numId w:val="0"/>
              </w:numPr>
              <w:snapToGrid w:val="0"/>
              <w:spacing w:line="360" w:lineRule="auto"/>
              <w:ind w:firstLine="420" w:firstLineChars="200"/>
              <w:rPr>
                <w:color w:val="auto"/>
                <w:highlight w:val="none"/>
              </w:rPr>
            </w:pPr>
            <w:r>
              <w:rPr>
                <w:rFonts w:hint="eastAsia" w:ascii="宋体" w:hAnsi="宋体" w:cs="宋体"/>
                <w:color w:val="auto"/>
                <w:kern w:val="0"/>
                <w:sz w:val="21"/>
                <w:szCs w:val="21"/>
                <w:highlight w:val="none"/>
                <w:lang w:val="en-US" w:eastAsia="zh-CN"/>
              </w:rPr>
              <w:t>合同生效之日起，中标人开始负责本项目光纤线路租赁和数据存储工作的正常运行。同时，中标人按采购人要求开展设备</w:t>
            </w:r>
            <w:r>
              <w:rPr>
                <w:rFonts w:hint="eastAsia"/>
                <w:color w:val="auto"/>
                <w:highlight w:val="none"/>
                <w:lang w:val="en-US" w:eastAsia="zh-CN"/>
              </w:rPr>
              <w:t>升级改造工作，且须在合同生效之日起60个自然日内完成</w:t>
            </w:r>
            <w:r>
              <w:rPr>
                <w:rFonts w:hint="eastAsia" w:ascii="宋体" w:hAnsi="宋体" w:cs="宋体"/>
                <w:color w:val="auto"/>
                <w:kern w:val="0"/>
                <w:sz w:val="21"/>
                <w:szCs w:val="21"/>
                <w:highlight w:val="none"/>
                <w:lang w:val="en-US" w:eastAsia="zh-CN"/>
              </w:rPr>
              <w:t>设备</w:t>
            </w:r>
            <w:r>
              <w:rPr>
                <w:rFonts w:hint="eastAsia"/>
                <w:color w:val="auto"/>
                <w:highlight w:val="none"/>
                <w:lang w:val="en-US" w:eastAsia="zh-CN"/>
              </w:rPr>
              <w:t>升级改造工作，完成后进入试运行期1个月，试运行结束后组织验收，自综合验收通过之日起进入24个月运维期</w:t>
            </w:r>
            <w:r>
              <w:rPr>
                <w:rFonts w:hint="eastAsia" w:ascii="宋体" w:hAnsi="宋体" w:eastAsia="宋体" w:cs="宋体"/>
                <w:color w:val="auto"/>
                <w:kern w:val="0"/>
                <w:sz w:val="21"/>
                <w:szCs w:val="21"/>
                <w:highlight w:val="none"/>
              </w:rPr>
              <w:t>。</w:t>
            </w:r>
          </w:p>
        </w:tc>
      </w:tr>
      <w:tr w14:paraId="0B5DF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5AA1EE99">
            <w:pPr>
              <w:pStyle w:val="11"/>
              <w:rPr>
                <w:color w:val="auto"/>
                <w:highlight w:val="none"/>
              </w:rPr>
            </w:pPr>
            <w:r>
              <w:rPr>
                <w:color w:val="auto"/>
                <w:highlight w:val="none"/>
              </w:rPr>
              <w:t>标的提供的地点</w:t>
            </w:r>
          </w:p>
        </w:tc>
        <w:tc>
          <w:tcPr>
            <w:tcW w:w="8709" w:type="dxa"/>
          </w:tcPr>
          <w:p w14:paraId="2A398187">
            <w:pPr>
              <w:pStyle w:val="11"/>
              <w:rPr>
                <w:color w:val="auto"/>
                <w:highlight w:val="none"/>
              </w:rPr>
            </w:pPr>
            <w:r>
              <w:rPr>
                <w:color w:val="auto"/>
                <w:highlight w:val="none"/>
              </w:rPr>
              <w:t>采购人指定地点。</w:t>
            </w:r>
          </w:p>
        </w:tc>
      </w:tr>
      <w:tr w14:paraId="0EF55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130C54B9">
            <w:pPr>
              <w:pStyle w:val="11"/>
              <w:rPr>
                <w:color w:val="auto"/>
                <w:highlight w:val="none"/>
              </w:rPr>
            </w:pPr>
            <w:r>
              <w:rPr>
                <w:color w:val="auto"/>
                <w:highlight w:val="none"/>
              </w:rPr>
              <w:t>付款方式</w:t>
            </w:r>
          </w:p>
        </w:tc>
        <w:tc>
          <w:tcPr>
            <w:tcW w:w="8709" w:type="dxa"/>
          </w:tcPr>
          <w:p w14:paraId="2E73AF83">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1期：支付比例100%,</w:t>
            </w:r>
          </w:p>
          <w:p w14:paraId="6BC5D76F">
            <w:pPr>
              <w:pStyle w:val="11"/>
              <w:keepNext w:val="0"/>
              <w:keepLines w:val="0"/>
              <w:pageBreakBefore w:val="0"/>
              <w:widowControl/>
              <w:numPr>
                <w:ilvl w:val="0"/>
                <w:numId w:val="13"/>
              </w:numP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本项目自进入24个月运维期之日起，</w:t>
            </w:r>
            <w:r>
              <w:rPr>
                <w:rFonts w:hint="eastAsia"/>
                <w:color w:val="auto"/>
                <w:highlight w:val="none"/>
              </w:rPr>
              <w:t>按月支付</w:t>
            </w:r>
            <w:r>
              <w:rPr>
                <w:rFonts w:hint="eastAsia"/>
                <w:color w:val="auto"/>
                <w:highlight w:val="none"/>
                <w:lang w:val="en-US" w:eastAsia="zh-CN"/>
              </w:rPr>
              <w:t>合同款（每月支付金额=合同价/24个月）</w:t>
            </w:r>
            <w:r>
              <w:rPr>
                <w:rFonts w:hint="eastAsia"/>
                <w:color w:val="auto"/>
                <w:highlight w:val="none"/>
                <w:lang w:eastAsia="zh-CN"/>
              </w:rPr>
              <w:t>。中标人</w:t>
            </w:r>
            <w:r>
              <w:rPr>
                <w:rFonts w:hint="eastAsia"/>
                <w:color w:val="auto"/>
                <w:highlight w:val="none"/>
              </w:rPr>
              <w:t>开具同等金额的税务发票，采购人于次月向财政部门申请支付该</w:t>
            </w:r>
            <w:r>
              <w:rPr>
                <w:rFonts w:hint="eastAsia"/>
                <w:color w:val="auto"/>
                <w:highlight w:val="none"/>
                <w:lang w:eastAsia="zh-CN"/>
              </w:rPr>
              <w:t>月</w:t>
            </w:r>
            <w:r>
              <w:rPr>
                <w:rFonts w:hint="eastAsia"/>
                <w:color w:val="auto"/>
                <w:highlight w:val="none"/>
              </w:rPr>
              <w:t>的费</w:t>
            </w:r>
            <w:r>
              <w:rPr>
                <w:rFonts w:hint="eastAsia"/>
                <w:color w:val="auto"/>
                <w:highlight w:val="none"/>
                <w:lang w:val="en-US" w:eastAsia="zh-CN"/>
              </w:rPr>
              <w:t>用</w:t>
            </w:r>
            <w:r>
              <w:rPr>
                <w:rFonts w:hint="eastAsia"/>
                <w:color w:val="auto"/>
                <w:highlight w:val="none"/>
              </w:rPr>
              <w:t xml:space="preserve">。 </w:t>
            </w:r>
          </w:p>
          <w:p w14:paraId="778A0D6C">
            <w:pPr>
              <w:pStyle w:val="11"/>
              <w:spacing w:line="360" w:lineRule="auto"/>
              <w:rPr>
                <w:color w:val="auto"/>
                <w:highlight w:val="none"/>
              </w:rPr>
            </w:pPr>
            <w:r>
              <w:rPr>
                <w:rFonts w:hint="eastAsia"/>
                <w:color w:val="auto"/>
                <w:highlight w:val="none"/>
              </w:rPr>
              <w:t>注：</w:t>
            </w:r>
            <w:r>
              <w:rPr>
                <w:color w:val="auto"/>
                <w:highlight w:val="none"/>
              </w:rPr>
              <w:t>因采购人使用的资金为财政资金，采购</w:t>
            </w:r>
            <w:r>
              <w:rPr>
                <w:rFonts w:hint="eastAsia"/>
                <w:color w:val="auto"/>
                <w:highlight w:val="none"/>
                <w:lang w:val="en-US" w:eastAsia="zh-CN"/>
              </w:rPr>
              <w:t>人</w:t>
            </w:r>
            <w:r>
              <w:rPr>
                <w:color w:val="auto"/>
                <w:highlight w:val="none"/>
              </w:rPr>
              <w:t>支付部门提出办理财政支付申请手续的时间（不含政府财政支付部门审核的时间），在规定时间内提出支付申请手续后，不视为逾期支付。</w:t>
            </w:r>
            <w:r>
              <w:rPr>
                <w:rFonts w:hint="eastAsia"/>
                <w:color w:val="auto"/>
                <w:highlight w:val="none"/>
              </w:rPr>
              <w:t xml:space="preserve"> </w:t>
            </w:r>
          </w:p>
          <w:p w14:paraId="1AF0B7D2">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如项目发生合同融资，采购人应当将合同款项支付到合同约定收款账户。</w:t>
            </w:r>
          </w:p>
        </w:tc>
      </w:tr>
      <w:tr w14:paraId="4DECC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3B2450D9">
            <w:pPr>
              <w:pStyle w:val="11"/>
              <w:rPr>
                <w:color w:val="auto"/>
                <w:highlight w:val="none"/>
              </w:rPr>
            </w:pPr>
            <w:r>
              <w:rPr>
                <w:color w:val="auto"/>
                <w:highlight w:val="none"/>
              </w:rPr>
              <w:t>验收要求</w:t>
            </w:r>
          </w:p>
        </w:tc>
        <w:tc>
          <w:tcPr>
            <w:tcW w:w="8709" w:type="dxa"/>
          </w:tcPr>
          <w:p w14:paraId="458D88C6">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w:t>
            </w:r>
            <w:r>
              <w:rPr>
                <w:color w:val="auto"/>
                <w:sz w:val="21"/>
                <w:highlight w:val="none"/>
              </w:rPr>
              <w:t>1</w:t>
            </w:r>
            <w:r>
              <w:rPr>
                <w:color w:val="auto"/>
                <w:highlight w:val="none"/>
              </w:rPr>
              <w:t>.本项目完成所有</w:t>
            </w:r>
            <w:r>
              <w:rPr>
                <w:rFonts w:hint="eastAsia"/>
                <w:color w:val="auto"/>
                <w:highlight w:val="none"/>
                <w:lang w:val="en-US" w:eastAsia="zh-CN"/>
              </w:rPr>
              <w:t>升级改造</w:t>
            </w:r>
            <w:r>
              <w:rPr>
                <w:color w:val="auto"/>
                <w:highlight w:val="none"/>
              </w:rPr>
              <w:t>设备安装调测后</w:t>
            </w:r>
            <w:r>
              <w:rPr>
                <w:rFonts w:hint="eastAsia"/>
                <w:color w:val="auto"/>
                <w:highlight w:val="none"/>
                <w:lang w:eastAsia="zh-CN"/>
              </w:rPr>
              <w:t>，</w:t>
            </w:r>
            <w:r>
              <w:rPr>
                <w:color w:val="auto"/>
                <w:highlight w:val="none"/>
              </w:rPr>
              <w:t>根据国家以及相关规定，由中标人组织</w:t>
            </w:r>
            <w:r>
              <w:rPr>
                <w:rFonts w:hint="eastAsia"/>
                <w:color w:val="auto"/>
                <w:highlight w:val="none"/>
                <w:lang w:val="en-US" w:eastAsia="zh-CN"/>
              </w:rPr>
              <w:t>相关人员进行</w:t>
            </w:r>
            <w:r>
              <w:rPr>
                <w:color w:val="auto"/>
                <w:highlight w:val="none"/>
              </w:rPr>
              <w:t>内部验收，内部验收合格后进入试运行阶段，试运行</w:t>
            </w:r>
            <w:r>
              <w:rPr>
                <w:rFonts w:hint="eastAsia"/>
                <w:color w:val="auto"/>
                <w:highlight w:val="none"/>
                <w:lang w:val="en-US" w:eastAsia="zh-CN"/>
              </w:rPr>
              <w:t>1</w:t>
            </w:r>
            <w:r>
              <w:rPr>
                <w:color w:val="auto"/>
                <w:highlight w:val="none"/>
              </w:rPr>
              <w:t>个月后，</w:t>
            </w:r>
            <w:r>
              <w:rPr>
                <w:rFonts w:hint="eastAsia"/>
                <w:color w:val="auto"/>
                <w:highlight w:val="none"/>
                <w:lang w:val="en-US" w:eastAsia="zh-CN"/>
              </w:rPr>
              <w:t>采购人</w:t>
            </w:r>
            <w:r>
              <w:rPr>
                <w:color w:val="auto"/>
                <w:highlight w:val="none"/>
              </w:rPr>
              <w:t>组织综合验收。</w:t>
            </w:r>
            <w:r>
              <w:rPr>
                <w:rFonts w:hint="eastAsia"/>
                <w:color w:val="auto"/>
                <w:sz w:val="21"/>
                <w:szCs w:val="21"/>
                <w:highlight w:val="none"/>
                <w:lang w:val="en-US" w:eastAsia="zh-CN"/>
              </w:rPr>
              <w:t>自升级改造综合验收通过后，运维期内</w:t>
            </w:r>
            <w:r>
              <w:rPr>
                <w:rFonts w:hint="eastAsia"/>
                <w:color w:val="auto"/>
                <w:sz w:val="21"/>
                <w:szCs w:val="21"/>
                <w:highlight w:val="none"/>
                <w:lang w:eastAsia="zh-CN"/>
              </w:rPr>
              <w:t>每月进行验收。</w:t>
            </w:r>
            <w:r>
              <w:rPr>
                <w:color w:val="auto"/>
                <w:sz w:val="21"/>
                <w:szCs w:val="21"/>
                <w:highlight w:val="none"/>
              </w:rPr>
              <w:t>中标人</w:t>
            </w:r>
            <w:r>
              <w:rPr>
                <w:rFonts w:hint="eastAsia"/>
                <w:color w:val="auto"/>
                <w:sz w:val="21"/>
                <w:szCs w:val="21"/>
                <w:highlight w:val="none"/>
                <w:u w:val="none"/>
                <w:lang w:val="en-US" w:eastAsia="zh-CN"/>
              </w:rPr>
              <w:t>每月</w:t>
            </w:r>
            <w:r>
              <w:rPr>
                <w:color w:val="auto"/>
                <w:sz w:val="21"/>
                <w:szCs w:val="21"/>
                <w:highlight w:val="none"/>
              </w:rPr>
              <w:t>提供</w:t>
            </w:r>
            <w:r>
              <w:rPr>
                <w:rFonts w:hint="eastAsia"/>
                <w:color w:val="auto"/>
                <w:sz w:val="21"/>
                <w:szCs w:val="21"/>
                <w:highlight w:val="none"/>
                <w:lang w:val="en-US" w:eastAsia="zh-CN"/>
              </w:rPr>
              <w:t>一次</w:t>
            </w:r>
            <w:r>
              <w:rPr>
                <w:color w:val="auto"/>
                <w:sz w:val="21"/>
                <w:szCs w:val="21"/>
                <w:highlight w:val="none"/>
              </w:rPr>
              <w:t>工作报告</w:t>
            </w:r>
            <w:r>
              <w:rPr>
                <w:rFonts w:hint="eastAsia"/>
                <w:color w:val="auto"/>
                <w:sz w:val="21"/>
                <w:szCs w:val="21"/>
                <w:highlight w:val="none"/>
                <w:lang w:eastAsia="zh-CN"/>
              </w:rPr>
              <w:t>，</w:t>
            </w:r>
            <w:r>
              <w:rPr>
                <w:color w:val="auto"/>
                <w:sz w:val="21"/>
                <w:szCs w:val="21"/>
                <w:highlight w:val="none"/>
              </w:rPr>
              <w:t>每月第一个工作周，将上月抢修、维护保养</w:t>
            </w:r>
            <w:r>
              <w:rPr>
                <w:rFonts w:hint="eastAsia"/>
                <w:color w:val="auto"/>
                <w:sz w:val="21"/>
                <w:szCs w:val="21"/>
                <w:highlight w:val="none"/>
                <w:lang w:eastAsia="zh-CN"/>
              </w:rPr>
              <w:t>、</w:t>
            </w:r>
            <w:r>
              <w:rPr>
                <w:rFonts w:hint="eastAsia"/>
                <w:color w:val="auto"/>
                <w:sz w:val="21"/>
                <w:szCs w:val="21"/>
                <w:highlight w:val="none"/>
                <w:lang w:val="en-US" w:eastAsia="zh-CN"/>
              </w:rPr>
              <w:t>故障排队等</w:t>
            </w:r>
            <w:r>
              <w:rPr>
                <w:color w:val="auto"/>
                <w:sz w:val="21"/>
                <w:szCs w:val="21"/>
                <w:highlight w:val="none"/>
              </w:rPr>
              <w:t>记录</w:t>
            </w:r>
            <w:r>
              <w:rPr>
                <w:rFonts w:hint="eastAsia"/>
                <w:color w:val="auto"/>
                <w:sz w:val="21"/>
                <w:szCs w:val="21"/>
                <w:highlight w:val="none"/>
                <w:lang w:val="en-US" w:eastAsia="zh-CN"/>
              </w:rPr>
              <w:t>整理汇编（电子档和纸质版），形成工作台账，和请款资料一并递交</w:t>
            </w:r>
            <w:r>
              <w:rPr>
                <w:rFonts w:hint="eastAsia"/>
                <w:color w:val="auto"/>
                <w:sz w:val="21"/>
                <w:szCs w:val="21"/>
                <w:highlight w:val="none"/>
                <w:u w:val="none"/>
                <w:lang w:val="en-US" w:eastAsia="zh-CN"/>
              </w:rPr>
              <w:t>采购人，如采购人出现资料不齐且未能按要求及时补正，采购人有权不支付合同款。</w:t>
            </w:r>
          </w:p>
          <w:p w14:paraId="73448FE2">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2.验收计划及程序</w:t>
            </w:r>
          </w:p>
          <w:p w14:paraId="7BF8E520">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2.1内部验收：</w:t>
            </w:r>
          </w:p>
          <w:p w14:paraId="62F39F3B">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2.1.1中标人根据合同、招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要求，检查项目完成情况后</w:t>
            </w:r>
            <w:r>
              <w:rPr>
                <w:rFonts w:hint="eastAsia"/>
                <w:color w:val="auto"/>
                <w:highlight w:val="none"/>
                <w:lang w:eastAsia="zh-CN"/>
              </w:rPr>
              <w:t>，</w:t>
            </w:r>
            <w:r>
              <w:rPr>
                <w:color w:val="auto"/>
                <w:highlight w:val="none"/>
              </w:rPr>
              <w:t>向采购人提出验收申请。</w:t>
            </w:r>
          </w:p>
          <w:p w14:paraId="6AAB3BBD">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2.1.2中标人提供验收材料：验收申请、完工报告、项目总结，以及要求的验收评审资料。</w:t>
            </w:r>
          </w:p>
          <w:p w14:paraId="1ED9FFA0">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2.1.3在符合验收的条件下，采购人组织</w:t>
            </w:r>
            <w:r>
              <w:rPr>
                <w:rFonts w:hint="eastAsia"/>
                <w:color w:val="auto"/>
                <w:highlight w:val="none"/>
                <w:lang w:val="en-US" w:eastAsia="zh-CN"/>
              </w:rPr>
              <w:t>相关</w:t>
            </w:r>
            <w:r>
              <w:rPr>
                <w:color w:val="auto"/>
                <w:highlight w:val="none"/>
              </w:rPr>
              <w:t>专业人员进行验收。</w:t>
            </w:r>
          </w:p>
          <w:p w14:paraId="19A2E880">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2.2试运行：</w:t>
            </w:r>
            <w:r>
              <w:rPr>
                <w:rFonts w:hint="eastAsia"/>
                <w:color w:val="auto"/>
                <w:highlight w:val="none"/>
                <w:lang w:val="en-US" w:eastAsia="zh-CN"/>
              </w:rPr>
              <w:t>设备升级完成后，</w:t>
            </w:r>
            <w:r>
              <w:rPr>
                <w:color w:val="auto"/>
                <w:highlight w:val="none"/>
              </w:rPr>
              <w:t>项目进</w:t>
            </w:r>
            <w:r>
              <w:rPr>
                <w:rFonts w:hint="eastAsia"/>
                <w:color w:val="auto"/>
                <w:highlight w:val="none"/>
                <w:lang w:val="en-US" w:eastAsia="zh-CN"/>
              </w:rPr>
              <w:t>入1</w:t>
            </w:r>
            <w:r>
              <w:rPr>
                <w:color w:val="auto"/>
                <w:highlight w:val="none"/>
              </w:rPr>
              <w:t>个月试运</w:t>
            </w:r>
            <w:r>
              <w:rPr>
                <w:rFonts w:hint="eastAsia"/>
                <w:color w:val="auto"/>
                <w:highlight w:val="none"/>
                <w:lang w:val="en-US" w:eastAsia="zh-CN"/>
              </w:rPr>
              <w:t>行期</w:t>
            </w:r>
            <w:r>
              <w:rPr>
                <w:color w:val="auto"/>
                <w:highlight w:val="none"/>
              </w:rPr>
              <w:t>。</w:t>
            </w:r>
          </w:p>
          <w:p w14:paraId="0E4EEC30">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color w:val="auto"/>
                <w:highlight w:val="none"/>
              </w:rPr>
              <w:t>2.3综合验收：试运行</w:t>
            </w:r>
            <w:r>
              <w:rPr>
                <w:rFonts w:hint="eastAsia"/>
                <w:color w:val="auto"/>
                <w:highlight w:val="none"/>
                <w:lang w:val="en-US" w:eastAsia="zh-CN"/>
              </w:rPr>
              <w:t>结束</w:t>
            </w:r>
            <w:r>
              <w:rPr>
                <w:color w:val="auto"/>
                <w:highlight w:val="none"/>
              </w:rPr>
              <w:t>后，采购人根据合同、招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的相关要求，检查项目完成情况，组织综合验收。</w:t>
            </w:r>
            <w:r>
              <w:rPr>
                <w:rFonts w:hint="eastAsia"/>
                <w:color w:val="auto"/>
                <w:highlight w:val="none"/>
                <w:lang w:val="en-US" w:eastAsia="zh-CN"/>
              </w:rPr>
              <w:t>自综合验收合格通过之日起，本项目进入24个月运维期。</w:t>
            </w:r>
          </w:p>
          <w:p w14:paraId="65658111">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3.</w:t>
            </w:r>
            <w:r>
              <w:rPr>
                <w:rFonts w:hint="eastAsia"/>
                <w:color w:val="auto"/>
                <w:highlight w:val="none"/>
                <w:lang w:val="en-US" w:eastAsia="zh-CN"/>
              </w:rPr>
              <w:t>中</w:t>
            </w:r>
            <w:r>
              <w:rPr>
                <w:color w:val="auto"/>
                <w:highlight w:val="none"/>
              </w:rPr>
              <w:t>标人应提前考虑可能出现的问题和风险，并提前制定应对措施，若验收不合格应尽快采取整改</w:t>
            </w:r>
            <w:r>
              <w:rPr>
                <w:rFonts w:hint="eastAsia"/>
                <w:color w:val="auto"/>
                <w:highlight w:val="none"/>
                <w:lang w:val="en-US" w:eastAsia="zh-CN"/>
              </w:rPr>
              <w:t>措施</w:t>
            </w:r>
            <w:r>
              <w:rPr>
                <w:color w:val="auto"/>
                <w:highlight w:val="none"/>
              </w:rPr>
              <w:t>调整</w:t>
            </w:r>
            <w:r>
              <w:rPr>
                <w:rFonts w:hint="eastAsia"/>
                <w:color w:val="auto"/>
                <w:highlight w:val="none"/>
                <w:lang w:eastAsia="zh-CN"/>
              </w:rPr>
              <w:t>，</w:t>
            </w:r>
            <w:r>
              <w:rPr>
                <w:color w:val="auto"/>
                <w:highlight w:val="none"/>
              </w:rPr>
              <w:t>以能达到通过验收标准。</w:t>
            </w:r>
          </w:p>
        </w:tc>
      </w:tr>
      <w:tr w14:paraId="0AEAE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2E62B48A">
            <w:pPr>
              <w:pStyle w:val="11"/>
              <w:rPr>
                <w:color w:val="auto"/>
                <w:highlight w:val="none"/>
              </w:rPr>
            </w:pPr>
            <w:r>
              <w:rPr>
                <w:color w:val="auto"/>
                <w:highlight w:val="none"/>
              </w:rPr>
              <w:t>履约保证金</w:t>
            </w:r>
          </w:p>
        </w:tc>
        <w:tc>
          <w:tcPr>
            <w:tcW w:w="8709" w:type="dxa"/>
          </w:tcPr>
          <w:p w14:paraId="74657A53">
            <w:pPr>
              <w:pStyle w:val="11"/>
              <w:rPr>
                <w:color w:val="auto"/>
                <w:highlight w:val="none"/>
              </w:rPr>
            </w:pPr>
            <w:r>
              <w:rPr>
                <w:color w:val="auto"/>
                <w:highlight w:val="none"/>
              </w:rPr>
              <w:t>不收取</w:t>
            </w:r>
          </w:p>
        </w:tc>
      </w:tr>
      <w:tr w14:paraId="5BBCD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165F6E65">
            <w:pPr>
              <w:pStyle w:val="11"/>
              <w:rPr>
                <w:color w:val="auto"/>
                <w:highlight w:val="none"/>
              </w:rPr>
            </w:pPr>
            <w:r>
              <w:rPr>
                <w:color w:val="auto"/>
                <w:highlight w:val="none"/>
              </w:rPr>
              <w:t>其他</w:t>
            </w:r>
          </w:p>
        </w:tc>
        <w:tc>
          <w:tcPr>
            <w:tcW w:w="8709" w:type="dxa"/>
          </w:tcPr>
          <w:p w14:paraId="5B87AC33">
            <w:pPr>
              <w:pStyle w:val="11"/>
              <w:numPr>
                <w:ilvl w:val="-1"/>
                <w:numId w:val="0"/>
              </w:numPr>
              <w:ind w:left="0" w:leftChars="0" w:firstLine="420" w:firstLineChars="0"/>
              <w:jc w:val="both"/>
              <w:rPr>
                <w:rFonts w:hint="eastAsia" w:eastAsia="宋体"/>
                <w:color w:val="auto"/>
                <w:highlight w:val="none"/>
                <w:lang w:val="en-US" w:eastAsia="zh-CN"/>
              </w:rPr>
            </w:pPr>
            <w:r>
              <w:rPr>
                <w:rFonts w:hint="eastAsia"/>
                <w:color w:val="auto"/>
                <w:highlight w:val="none"/>
                <w:lang w:val="en-US" w:eastAsia="zh-CN"/>
              </w:rPr>
              <w:t>/</w:t>
            </w:r>
          </w:p>
        </w:tc>
      </w:tr>
    </w:tbl>
    <w:p w14:paraId="271C65D8">
      <w:pPr>
        <w:bidi w:val="0"/>
        <w:rPr>
          <w:color w:val="auto"/>
          <w:highlight w:val="none"/>
        </w:rPr>
      </w:pPr>
    </w:p>
    <w:p w14:paraId="5C762B31">
      <w:pPr>
        <w:pStyle w:val="11"/>
        <w:outlineLvl w:val="2"/>
        <w:rPr>
          <w:b/>
          <w:color w:val="auto"/>
          <w:sz w:val="24"/>
          <w:szCs w:val="24"/>
          <w:highlight w:val="none"/>
        </w:rPr>
      </w:pPr>
      <w:r>
        <w:rPr>
          <w:b/>
          <w:color w:val="auto"/>
          <w:sz w:val="24"/>
          <w:szCs w:val="24"/>
          <w:highlight w:val="none"/>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2"/>
        <w:gridCol w:w="816"/>
        <w:gridCol w:w="1202"/>
        <w:gridCol w:w="506"/>
        <w:gridCol w:w="659"/>
        <w:gridCol w:w="1625"/>
        <w:gridCol w:w="1754"/>
        <w:gridCol w:w="1402"/>
        <w:gridCol w:w="850"/>
      </w:tblGrid>
      <w:tr w14:paraId="203C8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642" w:type="dxa"/>
          </w:tcPr>
          <w:p w14:paraId="554CBD94">
            <w:pPr>
              <w:pStyle w:val="11"/>
              <w:jc w:val="center"/>
              <w:rPr>
                <w:color w:val="auto"/>
                <w:highlight w:val="none"/>
              </w:rPr>
            </w:pPr>
            <w:r>
              <w:rPr>
                <w:color w:val="auto"/>
                <w:highlight w:val="none"/>
              </w:rPr>
              <w:t>序号</w:t>
            </w:r>
          </w:p>
        </w:tc>
        <w:tc>
          <w:tcPr>
            <w:tcW w:w="816" w:type="dxa"/>
          </w:tcPr>
          <w:p w14:paraId="255AD113">
            <w:pPr>
              <w:pStyle w:val="11"/>
              <w:jc w:val="center"/>
              <w:rPr>
                <w:color w:val="auto"/>
                <w:highlight w:val="none"/>
              </w:rPr>
            </w:pPr>
            <w:r>
              <w:rPr>
                <w:color w:val="auto"/>
                <w:highlight w:val="none"/>
              </w:rPr>
              <w:t>品目名称</w:t>
            </w:r>
          </w:p>
        </w:tc>
        <w:tc>
          <w:tcPr>
            <w:tcW w:w="1202" w:type="dxa"/>
          </w:tcPr>
          <w:p w14:paraId="78559469">
            <w:pPr>
              <w:pStyle w:val="11"/>
              <w:jc w:val="center"/>
              <w:rPr>
                <w:color w:val="auto"/>
                <w:highlight w:val="none"/>
              </w:rPr>
            </w:pPr>
            <w:r>
              <w:rPr>
                <w:color w:val="auto"/>
                <w:highlight w:val="none"/>
              </w:rPr>
              <w:t>标的名称</w:t>
            </w:r>
          </w:p>
        </w:tc>
        <w:tc>
          <w:tcPr>
            <w:tcW w:w="506" w:type="dxa"/>
          </w:tcPr>
          <w:p w14:paraId="6CFA48B9">
            <w:pPr>
              <w:pStyle w:val="11"/>
              <w:jc w:val="center"/>
              <w:rPr>
                <w:color w:val="auto"/>
                <w:highlight w:val="none"/>
              </w:rPr>
            </w:pPr>
            <w:r>
              <w:rPr>
                <w:color w:val="auto"/>
                <w:highlight w:val="none"/>
              </w:rPr>
              <w:t>单位</w:t>
            </w:r>
          </w:p>
        </w:tc>
        <w:tc>
          <w:tcPr>
            <w:tcW w:w="659" w:type="dxa"/>
          </w:tcPr>
          <w:p w14:paraId="129F46C1">
            <w:pPr>
              <w:pStyle w:val="11"/>
              <w:jc w:val="center"/>
              <w:rPr>
                <w:color w:val="auto"/>
                <w:highlight w:val="none"/>
              </w:rPr>
            </w:pPr>
            <w:r>
              <w:rPr>
                <w:color w:val="auto"/>
                <w:highlight w:val="none"/>
              </w:rPr>
              <w:t>数量</w:t>
            </w:r>
          </w:p>
        </w:tc>
        <w:tc>
          <w:tcPr>
            <w:tcW w:w="1625" w:type="dxa"/>
          </w:tcPr>
          <w:p w14:paraId="3F938B43">
            <w:pPr>
              <w:pStyle w:val="11"/>
              <w:jc w:val="center"/>
              <w:rPr>
                <w:color w:val="auto"/>
                <w:highlight w:val="none"/>
              </w:rPr>
            </w:pPr>
            <w:r>
              <w:rPr>
                <w:color w:val="auto"/>
                <w:highlight w:val="none"/>
              </w:rPr>
              <w:t>分项预算单价（元）</w:t>
            </w:r>
          </w:p>
        </w:tc>
        <w:tc>
          <w:tcPr>
            <w:tcW w:w="1754" w:type="dxa"/>
          </w:tcPr>
          <w:p w14:paraId="73367B8F">
            <w:pPr>
              <w:pStyle w:val="11"/>
              <w:jc w:val="center"/>
              <w:rPr>
                <w:color w:val="auto"/>
                <w:highlight w:val="none"/>
              </w:rPr>
            </w:pPr>
            <w:r>
              <w:rPr>
                <w:color w:val="auto"/>
                <w:highlight w:val="none"/>
              </w:rPr>
              <w:t>分项预算总价（元）</w:t>
            </w:r>
          </w:p>
        </w:tc>
        <w:tc>
          <w:tcPr>
            <w:tcW w:w="1402" w:type="dxa"/>
          </w:tcPr>
          <w:p w14:paraId="35C819BA">
            <w:pPr>
              <w:pStyle w:val="11"/>
              <w:rPr>
                <w:color w:val="auto"/>
                <w:highlight w:val="none"/>
              </w:rPr>
            </w:pPr>
            <w:r>
              <w:rPr>
                <w:color w:val="auto"/>
                <w:highlight w:val="none"/>
              </w:rPr>
              <w:t>所属行业</w:t>
            </w:r>
          </w:p>
        </w:tc>
        <w:tc>
          <w:tcPr>
            <w:tcW w:w="850" w:type="dxa"/>
          </w:tcPr>
          <w:p w14:paraId="793F331A">
            <w:pPr>
              <w:pStyle w:val="11"/>
              <w:jc w:val="center"/>
              <w:rPr>
                <w:color w:val="auto"/>
                <w:highlight w:val="none"/>
              </w:rPr>
            </w:pPr>
            <w:r>
              <w:rPr>
                <w:color w:val="auto"/>
                <w:highlight w:val="none"/>
              </w:rPr>
              <w:t>技术要求</w:t>
            </w:r>
          </w:p>
        </w:tc>
      </w:tr>
      <w:tr w14:paraId="73BDA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6" w:hRule="atLeast"/>
        </w:trPr>
        <w:tc>
          <w:tcPr>
            <w:tcW w:w="642" w:type="dxa"/>
            <w:vAlign w:val="center"/>
          </w:tcPr>
          <w:p w14:paraId="6C1D3848">
            <w:pPr>
              <w:pStyle w:val="11"/>
              <w:jc w:val="center"/>
              <w:rPr>
                <w:color w:val="auto"/>
                <w:sz w:val="21"/>
                <w:szCs w:val="21"/>
                <w:highlight w:val="none"/>
              </w:rPr>
            </w:pPr>
            <w:r>
              <w:rPr>
                <w:color w:val="auto"/>
                <w:sz w:val="21"/>
                <w:szCs w:val="21"/>
                <w:highlight w:val="none"/>
              </w:rPr>
              <w:t>1</w:t>
            </w:r>
          </w:p>
        </w:tc>
        <w:tc>
          <w:tcPr>
            <w:tcW w:w="816" w:type="dxa"/>
            <w:vAlign w:val="center"/>
          </w:tcPr>
          <w:p w14:paraId="54D99A86">
            <w:pPr>
              <w:pStyle w:val="11"/>
              <w:jc w:val="left"/>
              <w:rPr>
                <w:rFonts w:hint="eastAsia" w:eastAsia="宋体"/>
                <w:color w:val="auto"/>
                <w:sz w:val="21"/>
                <w:szCs w:val="21"/>
                <w:highlight w:val="none"/>
                <w:lang w:eastAsia="zh-CN"/>
              </w:rPr>
            </w:pPr>
            <w:r>
              <w:rPr>
                <w:rFonts w:hint="eastAsia"/>
                <w:color w:val="auto"/>
                <w:sz w:val="21"/>
                <w:szCs w:val="21"/>
                <w:highlight w:val="none"/>
                <w:lang w:eastAsia="zh-CN"/>
              </w:rPr>
              <w:t>其他运行维护服务</w:t>
            </w:r>
          </w:p>
        </w:tc>
        <w:tc>
          <w:tcPr>
            <w:tcW w:w="1202" w:type="dxa"/>
            <w:vAlign w:val="center"/>
          </w:tcPr>
          <w:p w14:paraId="5E98D87E">
            <w:pPr>
              <w:pStyle w:val="11"/>
              <w:jc w:val="left"/>
              <w:rPr>
                <w:rFonts w:hint="eastAsia"/>
                <w:color w:val="auto"/>
                <w:sz w:val="21"/>
                <w:szCs w:val="21"/>
                <w:highlight w:val="none"/>
                <w:lang w:eastAsia="zh-CN"/>
              </w:rPr>
            </w:pPr>
            <w:r>
              <w:rPr>
                <w:rFonts w:hint="eastAsia"/>
                <w:color w:val="auto"/>
                <w:sz w:val="21"/>
                <w:szCs w:val="21"/>
                <w:highlight w:val="none"/>
                <w:lang w:val="en-US" w:eastAsia="zh-CN"/>
              </w:rPr>
              <w:t>二期设备升级及运维</w:t>
            </w:r>
          </w:p>
        </w:tc>
        <w:tc>
          <w:tcPr>
            <w:tcW w:w="506" w:type="dxa"/>
            <w:vAlign w:val="center"/>
          </w:tcPr>
          <w:p w14:paraId="6C95C5C4">
            <w:pPr>
              <w:pStyle w:val="11"/>
              <w:jc w:val="center"/>
              <w:rPr>
                <w:color w:val="auto"/>
                <w:sz w:val="21"/>
                <w:szCs w:val="21"/>
                <w:highlight w:val="none"/>
              </w:rPr>
            </w:pPr>
            <w:r>
              <w:rPr>
                <w:color w:val="auto"/>
                <w:sz w:val="21"/>
                <w:szCs w:val="21"/>
                <w:highlight w:val="none"/>
              </w:rPr>
              <w:t>项</w:t>
            </w:r>
          </w:p>
        </w:tc>
        <w:tc>
          <w:tcPr>
            <w:tcW w:w="659" w:type="dxa"/>
            <w:vAlign w:val="center"/>
          </w:tcPr>
          <w:p w14:paraId="1C791BD5">
            <w:pPr>
              <w:pStyle w:val="11"/>
              <w:jc w:val="center"/>
              <w:rPr>
                <w:color w:val="auto"/>
                <w:sz w:val="21"/>
                <w:szCs w:val="21"/>
                <w:highlight w:val="none"/>
              </w:rPr>
            </w:pPr>
            <w:r>
              <w:rPr>
                <w:color w:val="auto"/>
                <w:sz w:val="21"/>
                <w:szCs w:val="21"/>
                <w:highlight w:val="none"/>
              </w:rPr>
              <w:t>1.00</w:t>
            </w:r>
          </w:p>
        </w:tc>
        <w:tc>
          <w:tcPr>
            <w:tcW w:w="1625" w:type="dxa"/>
            <w:vAlign w:val="center"/>
          </w:tcPr>
          <w:p w14:paraId="528D8BB4">
            <w:pPr>
              <w:pStyle w:val="11"/>
              <w:jc w:val="center"/>
              <w:rPr>
                <w:rFonts w:hint="eastAsia"/>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1984686.72</w:t>
            </w:r>
          </w:p>
        </w:tc>
        <w:tc>
          <w:tcPr>
            <w:tcW w:w="1754" w:type="dxa"/>
            <w:shd w:val="clear" w:color="auto" w:fill="auto"/>
            <w:vAlign w:val="center"/>
          </w:tcPr>
          <w:p w14:paraId="565E50AC">
            <w:pPr>
              <w:pStyle w:val="11"/>
              <w:jc w:val="center"/>
              <w:rPr>
                <w:rFonts w:hint="eastAsia" w:ascii="Calibri" w:hAnsi="Calibri"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1984686.72</w:t>
            </w:r>
          </w:p>
        </w:tc>
        <w:tc>
          <w:tcPr>
            <w:tcW w:w="1402" w:type="dxa"/>
            <w:vAlign w:val="center"/>
          </w:tcPr>
          <w:p w14:paraId="524C7A8A">
            <w:pPr>
              <w:pStyle w:val="11"/>
              <w:jc w:val="left"/>
              <w:rPr>
                <w:rFonts w:hint="eastAsia"/>
                <w:color w:val="auto"/>
                <w:sz w:val="21"/>
                <w:szCs w:val="21"/>
                <w:highlight w:val="none"/>
                <w:lang w:val="en-US" w:eastAsia="zh-CN"/>
              </w:rPr>
            </w:pPr>
            <w:r>
              <w:rPr>
                <w:rFonts w:hint="eastAsia"/>
                <w:color w:val="auto"/>
                <w:sz w:val="21"/>
                <w:szCs w:val="21"/>
                <w:highlight w:val="none"/>
                <w:lang w:val="en-US" w:eastAsia="zh-CN"/>
              </w:rPr>
              <w:t>软件和信息技术服务业</w:t>
            </w:r>
          </w:p>
        </w:tc>
        <w:tc>
          <w:tcPr>
            <w:tcW w:w="850" w:type="dxa"/>
            <w:vAlign w:val="center"/>
          </w:tcPr>
          <w:p w14:paraId="1776E654">
            <w:pPr>
              <w:pStyle w:val="11"/>
              <w:jc w:val="left"/>
              <w:rPr>
                <w:rFonts w:hint="eastAsia"/>
                <w:color w:val="auto"/>
                <w:sz w:val="21"/>
                <w:szCs w:val="21"/>
                <w:highlight w:val="none"/>
                <w:lang w:val="en-US" w:eastAsia="zh-CN"/>
              </w:rPr>
            </w:pPr>
            <w:r>
              <w:rPr>
                <w:rFonts w:hint="eastAsia"/>
                <w:color w:val="auto"/>
                <w:sz w:val="21"/>
                <w:szCs w:val="21"/>
                <w:highlight w:val="none"/>
                <w:lang w:val="en-US" w:eastAsia="zh-CN"/>
              </w:rPr>
              <w:t>详见附表一</w:t>
            </w:r>
          </w:p>
        </w:tc>
      </w:tr>
      <w:tr w14:paraId="33A40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5" w:hRule="atLeast"/>
        </w:trPr>
        <w:tc>
          <w:tcPr>
            <w:tcW w:w="642" w:type="dxa"/>
            <w:vAlign w:val="center"/>
          </w:tcPr>
          <w:p w14:paraId="54BE364E">
            <w:pPr>
              <w:pStyle w:val="11"/>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c>
          <w:tcPr>
            <w:tcW w:w="816" w:type="dxa"/>
            <w:vAlign w:val="center"/>
          </w:tcPr>
          <w:p w14:paraId="709688CF">
            <w:pPr>
              <w:pStyle w:val="11"/>
              <w:jc w:val="left"/>
              <w:rPr>
                <w:rFonts w:hint="eastAsia" w:eastAsia="宋体"/>
                <w:color w:val="auto"/>
                <w:sz w:val="21"/>
                <w:szCs w:val="21"/>
                <w:highlight w:val="none"/>
                <w:lang w:eastAsia="zh-CN"/>
              </w:rPr>
            </w:pPr>
            <w:r>
              <w:rPr>
                <w:rFonts w:hint="eastAsia"/>
                <w:color w:val="auto"/>
                <w:sz w:val="21"/>
                <w:szCs w:val="21"/>
                <w:highlight w:val="none"/>
                <w:lang w:eastAsia="zh-CN"/>
              </w:rPr>
              <w:t>其他运行维护服务</w:t>
            </w:r>
          </w:p>
        </w:tc>
        <w:tc>
          <w:tcPr>
            <w:tcW w:w="1202" w:type="dxa"/>
            <w:vAlign w:val="center"/>
          </w:tcPr>
          <w:p w14:paraId="5DDB53B8">
            <w:pPr>
              <w:pStyle w:val="11"/>
              <w:jc w:val="left"/>
              <w:rPr>
                <w:rFonts w:hint="eastAsia"/>
                <w:color w:val="auto"/>
                <w:sz w:val="21"/>
                <w:szCs w:val="21"/>
                <w:highlight w:val="none"/>
                <w:lang w:eastAsia="zh-CN"/>
              </w:rPr>
            </w:pPr>
            <w:r>
              <w:rPr>
                <w:rFonts w:hint="eastAsia"/>
                <w:color w:val="auto"/>
                <w:sz w:val="21"/>
                <w:szCs w:val="21"/>
                <w:highlight w:val="none"/>
                <w:lang w:val="en-US" w:eastAsia="zh-CN"/>
              </w:rPr>
              <w:t>光纤线路租赁及数据存储项目</w:t>
            </w:r>
          </w:p>
        </w:tc>
        <w:tc>
          <w:tcPr>
            <w:tcW w:w="506" w:type="dxa"/>
            <w:vAlign w:val="center"/>
          </w:tcPr>
          <w:p w14:paraId="4B18FF79">
            <w:pPr>
              <w:pStyle w:val="11"/>
              <w:jc w:val="center"/>
              <w:rPr>
                <w:color w:val="auto"/>
                <w:sz w:val="21"/>
                <w:szCs w:val="21"/>
                <w:highlight w:val="none"/>
              </w:rPr>
            </w:pPr>
            <w:r>
              <w:rPr>
                <w:color w:val="auto"/>
                <w:sz w:val="21"/>
                <w:szCs w:val="21"/>
                <w:highlight w:val="none"/>
              </w:rPr>
              <w:t>项</w:t>
            </w:r>
          </w:p>
        </w:tc>
        <w:tc>
          <w:tcPr>
            <w:tcW w:w="659" w:type="dxa"/>
            <w:vAlign w:val="center"/>
          </w:tcPr>
          <w:p w14:paraId="11AF0F0E">
            <w:pPr>
              <w:pStyle w:val="11"/>
              <w:jc w:val="center"/>
              <w:rPr>
                <w:color w:val="auto"/>
                <w:sz w:val="21"/>
                <w:szCs w:val="21"/>
                <w:highlight w:val="none"/>
              </w:rPr>
            </w:pPr>
            <w:r>
              <w:rPr>
                <w:color w:val="auto"/>
                <w:sz w:val="21"/>
                <w:szCs w:val="21"/>
                <w:highlight w:val="none"/>
              </w:rPr>
              <w:t>1.00</w:t>
            </w:r>
          </w:p>
        </w:tc>
        <w:tc>
          <w:tcPr>
            <w:tcW w:w="1625" w:type="dxa"/>
            <w:vAlign w:val="center"/>
          </w:tcPr>
          <w:p w14:paraId="73B758BB">
            <w:pPr>
              <w:pStyle w:val="11"/>
              <w:jc w:val="center"/>
              <w:rPr>
                <w:rFonts w:hint="eastAsia"/>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1552899.36</w:t>
            </w:r>
          </w:p>
        </w:tc>
        <w:tc>
          <w:tcPr>
            <w:tcW w:w="1754" w:type="dxa"/>
            <w:shd w:val="clear" w:color="auto" w:fill="auto"/>
            <w:vAlign w:val="center"/>
          </w:tcPr>
          <w:p w14:paraId="408D87FE">
            <w:pPr>
              <w:pStyle w:val="11"/>
              <w:jc w:val="center"/>
              <w:rPr>
                <w:rFonts w:hint="eastAsia" w:ascii="Calibri" w:hAnsi="Calibri"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1552899.36</w:t>
            </w:r>
          </w:p>
        </w:tc>
        <w:tc>
          <w:tcPr>
            <w:tcW w:w="1402" w:type="dxa"/>
            <w:vAlign w:val="center"/>
          </w:tcPr>
          <w:p w14:paraId="3740A462">
            <w:pPr>
              <w:pStyle w:val="11"/>
              <w:jc w:val="left"/>
              <w:rPr>
                <w:rFonts w:hint="eastAsia"/>
                <w:color w:val="auto"/>
                <w:sz w:val="21"/>
                <w:szCs w:val="21"/>
                <w:highlight w:val="none"/>
                <w:lang w:val="en-US" w:eastAsia="zh-CN"/>
              </w:rPr>
            </w:pPr>
            <w:r>
              <w:rPr>
                <w:rFonts w:hint="eastAsia"/>
                <w:color w:val="auto"/>
                <w:sz w:val="21"/>
                <w:szCs w:val="21"/>
                <w:highlight w:val="none"/>
                <w:lang w:val="en-US" w:eastAsia="zh-CN"/>
              </w:rPr>
              <w:t>软件和信息技术服务业</w:t>
            </w:r>
          </w:p>
        </w:tc>
        <w:tc>
          <w:tcPr>
            <w:tcW w:w="850" w:type="dxa"/>
            <w:vAlign w:val="center"/>
          </w:tcPr>
          <w:p w14:paraId="72EB5D15">
            <w:pPr>
              <w:pStyle w:val="11"/>
              <w:jc w:val="left"/>
              <w:rPr>
                <w:rFonts w:hint="eastAsia"/>
                <w:color w:val="auto"/>
                <w:sz w:val="21"/>
                <w:szCs w:val="21"/>
                <w:highlight w:val="none"/>
                <w:lang w:val="en-US" w:eastAsia="zh-CN"/>
              </w:rPr>
            </w:pPr>
            <w:r>
              <w:rPr>
                <w:rFonts w:hint="eastAsia"/>
                <w:color w:val="auto"/>
                <w:sz w:val="21"/>
                <w:szCs w:val="21"/>
                <w:highlight w:val="none"/>
                <w:lang w:val="en-US" w:eastAsia="zh-CN"/>
              </w:rPr>
              <w:t>详见附表一</w:t>
            </w:r>
          </w:p>
        </w:tc>
      </w:tr>
    </w:tbl>
    <w:p w14:paraId="69DB783A">
      <w:pPr>
        <w:pStyle w:val="11"/>
        <w:outlineLvl w:val="2"/>
        <w:rPr>
          <w:rFonts w:hint="eastAsia"/>
          <w:b/>
          <w:color w:val="auto"/>
          <w:highlight w:val="none"/>
          <w:lang w:eastAsia="zh-CN"/>
        </w:rPr>
      </w:pPr>
      <w:r>
        <w:rPr>
          <w:b/>
          <w:color w:val="auto"/>
          <w:highlight w:val="none"/>
        </w:rPr>
        <w:t>附表一：</w:t>
      </w:r>
      <w:r>
        <w:rPr>
          <w:rFonts w:hint="eastAsia"/>
          <w:b/>
          <w:color w:val="auto"/>
          <w:highlight w:val="none"/>
          <w:lang w:val="en-US" w:eastAsia="zh-CN"/>
        </w:rPr>
        <w:t>2024年视频监控项目——二期设备升级及运维和光纤线路租赁及数据存储项目</w:t>
      </w:r>
    </w:p>
    <w:tbl>
      <w:tblPr>
        <w:tblStyle w:val="8"/>
        <w:tblW w:w="96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8"/>
        <w:gridCol w:w="417"/>
        <w:gridCol w:w="8447"/>
      </w:tblGrid>
      <w:tr w14:paraId="28331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vAlign w:val="center"/>
          </w:tcPr>
          <w:p w14:paraId="1F97067E">
            <w:pPr>
              <w:pStyle w:val="11"/>
              <w:jc w:val="center"/>
              <w:rPr>
                <w:b/>
                <w:bCs/>
                <w:color w:val="auto"/>
                <w:highlight w:val="none"/>
              </w:rPr>
            </w:pPr>
            <w:r>
              <w:rPr>
                <w:b/>
                <w:bCs/>
                <w:color w:val="auto"/>
                <w:highlight w:val="none"/>
              </w:rPr>
              <w:t>参数性质</w:t>
            </w:r>
          </w:p>
        </w:tc>
        <w:tc>
          <w:tcPr>
            <w:tcW w:w="417" w:type="dxa"/>
            <w:vAlign w:val="center"/>
          </w:tcPr>
          <w:p w14:paraId="63D625A9">
            <w:pPr>
              <w:pStyle w:val="11"/>
              <w:jc w:val="center"/>
              <w:rPr>
                <w:b/>
                <w:bCs/>
                <w:color w:val="auto"/>
                <w:highlight w:val="none"/>
              </w:rPr>
            </w:pPr>
            <w:r>
              <w:rPr>
                <w:b/>
                <w:bCs/>
                <w:color w:val="auto"/>
                <w:highlight w:val="none"/>
              </w:rPr>
              <w:t>序号</w:t>
            </w:r>
          </w:p>
        </w:tc>
        <w:tc>
          <w:tcPr>
            <w:tcW w:w="8447" w:type="dxa"/>
            <w:vAlign w:val="center"/>
          </w:tcPr>
          <w:p w14:paraId="7D1DEAF4">
            <w:pPr>
              <w:pStyle w:val="11"/>
              <w:jc w:val="center"/>
              <w:rPr>
                <w:b/>
                <w:bCs/>
                <w:color w:val="auto"/>
                <w:highlight w:val="none"/>
              </w:rPr>
            </w:pPr>
            <w:r>
              <w:rPr>
                <w:b/>
                <w:bCs/>
                <w:color w:val="auto"/>
                <w:highlight w:val="none"/>
              </w:rPr>
              <w:t>具体技术(参数)要求</w:t>
            </w:r>
          </w:p>
        </w:tc>
      </w:tr>
      <w:tr w14:paraId="7BCED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5B7F6C5F">
            <w:pPr>
              <w:rPr>
                <w:color w:val="auto"/>
                <w:highlight w:val="none"/>
              </w:rPr>
            </w:pPr>
          </w:p>
        </w:tc>
        <w:tc>
          <w:tcPr>
            <w:tcW w:w="417" w:type="dxa"/>
          </w:tcPr>
          <w:p w14:paraId="040D7210">
            <w:pPr>
              <w:pStyle w:val="11"/>
              <w:jc w:val="center"/>
              <w:rPr>
                <w:color w:val="auto"/>
                <w:highlight w:val="none"/>
              </w:rPr>
            </w:pPr>
            <w:r>
              <w:rPr>
                <w:color w:val="auto"/>
                <w:highlight w:val="none"/>
              </w:rPr>
              <w:t>1</w:t>
            </w:r>
          </w:p>
        </w:tc>
        <w:tc>
          <w:tcPr>
            <w:tcW w:w="8447" w:type="dxa"/>
          </w:tcPr>
          <w:p w14:paraId="0648910C">
            <w:pPr>
              <w:pStyle w:val="11"/>
              <w:numPr>
                <w:ilvl w:val="0"/>
                <w:numId w:val="17"/>
              </w:numPr>
              <w:jc w:val="both"/>
              <w:rPr>
                <w:rFonts w:hint="eastAsia" w:ascii="宋体" w:hAnsi="宋体" w:eastAsia="宋体" w:cs="宋体"/>
                <w:b/>
                <w:bCs/>
                <w:color w:val="auto"/>
                <w:sz w:val="21"/>
                <w:szCs w:val="21"/>
                <w:highlight w:val="none"/>
                <w:shd w:val="clear" w:color="auto" w:fill="FFFFFF"/>
                <w:lang w:eastAsia="zh-CN"/>
              </w:rPr>
            </w:pPr>
            <w:r>
              <w:rPr>
                <w:rFonts w:hint="eastAsia" w:ascii="宋体" w:hAnsi="宋体" w:eastAsia="宋体" w:cs="宋体"/>
                <w:b/>
                <w:bCs/>
                <w:color w:val="auto"/>
                <w:sz w:val="21"/>
                <w:szCs w:val="21"/>
                <w:highlight w:val="none"/>
                <w:shd w:val="clear" w:color="auto" w:fill="FFFFFF"/>
                <w:lang w:eastAsia="zh-CN"/>
              </w:rPr>
              <w:t>项目要求</w:t>
            </w:r>
          </w:p>
          <w:p w14:paraId="48C41A19">
            <w:pPr>
              <w:pStyle w:val="11"/>
              <w:ind w:firstLine="420" w:firstLineChars="200"/>
              <w:jc w:val="both"/>
              <w:rPr>
                <w:rFonts w:hint="eastAsia" w:ascii="宋体" w:hAnsi="宋体" w:eastAsia="宋体" w:cs="宋体"/>
                <w:color w:val="auto"/>
                <w:sz w:val="24"/>
                <w:highlight w:val="none"/>
                <w:shd w:val="clear" w:color="auto" w:fill="FFFFFF"/>
                <w:lang w:val="en-US" w:eastAsia="zh-CN"/>
              </w:rPr>
            </w:pPr>
            <w:r>
              <w:rPr>
                <w:rFonts w:hint="eastAsia"/>
                <w:color w:val="auto"/>
                <w:sz w:val="21"/>
                <w:szCs w:val="21"/>
                <w:highlight w:val="none"/>
                <w:lang w:val="en-US" w:eastAsia="zh-CN"/>
              </w:rPr>
              <w:t>1.二期设备升级及运维服务:120个点位，二期光纤线路租赁及数据存储服务:120个点位。</w:t>
            </w:r>
            <w:r>
              <w:rPr>
                <w:rFonts w:hint="eastAsia"/>
                <w:b/>
                <w:bCs/>
                <w:color w:val="auto"/>
                <w:highlight w:val="none"/>
                <w:lang w:eastAsia="zh-CN"/>
              </w:rPr>
              <w:t>点位表</w:t>
            </w:r>
            <w:r>
              <w:rPr>
                <w:rFonts w:hint="eastAsia"/>
                <w:b/>
                <w:bCs/>
                <w:color w:val="auto"/>
                <w:highlight w:val="none"/>
                <w:lang w:val="en-US" w:eastAsia="zh-CN"/>
              </w:rPr>
              <w:t>详见附件，具体以采购人实际指定为准</w:t>
            </w:r>
            <w:r>
              <w:rPr>
                <w:rFonts w:hint="eastAsia"/>
                <w:color w:val="auto"/>
                <w:sz w:val="21"/>
                <w:szCs w:val="21"/>
                <w:highlight w:val="none"/>
                <w:lang w:eastAsia="zh-CN"/>
              </w:rPr>
              <w:t>。</w:t>
            </w:r>
          </w:p>
        </w:tc>
      </w:tr>
      <w:tr w14:paraId="6F705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9" w:hRule="atLeast"/>
        </w:trPr>
        <w:tc>
          <w:tcPr>
            <w:tcW w:w="758" w:type="dxa"/>
          </w:tcPr>
          <w:p w14:paraId="58E2DE6A">
            <w:pPr>
              <w:rPr>
                <w:color w:val="auto"/>
                <w:highlight w:val="none"/>
              </w:rPr>
            </w:pPr>
          </w:p>
        </w:tc>
        <w:tc>
          <w:tcPr>
            <w:tcW w:w="417" w:type="dxa"/>
          </w:tcPr>
          <w:p w14:paraId="46967A69">
            <w:pPr>
              <w:pStyle w:val="11"/>
              <w:jc w:val="center"/>
              <w:rPr>
                <w:color w:val="auto"/>
                <w:highlight w:val="none"/>
              </w:rPr>
            </w:pPr>
            <w:r>
              <w:rPr>
                <w:color w:val="auto"/>
                <w:highlight w:val="none"/>
              </w:rPr>
              <w:t>2</w:t>
            </w:r>
          </w:p>
        </w:tc>
        <w:tc>
          <w:tcPr>
            <w:tcW w:w="8447" w:type="dxa"/>
          </w:tcPr>
          <w:p w14:paraId="2A72E354">
            <w:pPr>
              <w:pStyle w:val="11"/>
              <w:numPr>
                <w:ilvl w:val="0"/>
                <w:numId w:val="0"/>
              </w:numPr>
              <w:jc w:val="both"/>
              <w:rPr>
                <w:b/>
                <w:color w:val="auto"/>
                <w:sz w:val="21"/>
                <w:highlight w:val="none"/>
              </w:rPr>
            </w:pPr>
            <w:r>
              <w:rPr>
                <w:rFonts w:hint="eastAsia"/>
                <w:b/>
                <w:bCs/>
                <w:color w:val="auto"/>
                <w:highlight w:val="none"/>
                <w:lang w:eastAsia="zh-CN"/>
              </w:rPr>
              <w:t>二、设备升级改造清单</w:t>
            </w:r>
            <w:r>
              <w:rPr>
                <w:b/>
                <w:color w:val="auto"/>
                <w:sz w:val="21"/>
                <w:highlight w:val="none"/>
              </w:rPr>
              <w:t>及其参数要求</w:t>
            </w:r>
          </w:p>
          <w:p w14:paraId="54A8408F">
            <w:pPr>
              <w:pStyle w:val="11"/>
              <w:numPr>
                <w:ilvl w:val="0"/>
                <w:numId w:val="0"/>
              </w:numPr>
              <w:ind w:firstLine="420" w:firstLineChars="200"/>
              <w:jc w:val="both"/>
              <w:rPr>
                <w:color w:val="auto"/>
                <w:sz w:val="21"/>
                <w:highlight w:val="none"/>
              </w:rPr>
            </w:pPr>
            <w:r>
              <w:rPr>
                <w:color w:val="auto"/>
                <w:sz w:val="21"/>
                <w:highlight w:val="none"/>
              </w:rPr>
              <w:t>本系统的建设坚持“技术上先进，使用上实用，经济上合理”的原则。为确保系统的实用性、可靠性，所选用的设备应符合相关的国家标准和行业标准。并根据项目功能要求，系统建设的设备的技术参数均应不低于以下技术指标要求。</w:t>
            </w:r>
          </w:p>
          <w:p w14:paraId="0AFDFBF1">
            <w:pPr>
              <w:pStyle w:val="11"/>
              <w:numPr>
                <w:ilvl w:val="0"/>
                <w:numId w:val="0"/>
              </w:numPr>
              <w:jc w:val="both"/>
              <w:rPr>
                <w:b/>
                <w:color w:val="auto"/>
                <w:sz w:val="21"/>
                <w:highlight w:val="none"/>
              </w:rPr>
            </w:pPr>
          </w:p>
          <w:p w14:paraId="7F16F4AC">
            <w:pPr>
              <w:pStyle w:val="11"/>
              <w:jc w:val="both"/>
              <w:rPr>
                <w:rFonts w:hint="default" w:eastAsia="宋体"/>
                <w:color w:val="auto"/>
                <w:sz w:val="21"/>
                <w:highlight w:val="none"/>
                <w:lang w:val="en-US" w:eastAsia="zh-CN"/>
              </w:rPr>
            </w:pPr>
            <w:r>
              <w:rPr>
                <w:rFonts w:hint="eastAsia"/>
                <w:color w:val="auto"/>
                <w:sz w:val="21"/>
                <w:highlight w:val="none"/>
                <w:lang w:val="en-US" w:eastAsia="zh-CN"/>
              </w:rPr>
              <w:t>1、设备升级改造清单</w:t>
            </w:r>
          </w:p>
          <w:tbl>
            <w:tblPr>
              <w:tblStyle w:val="8"/>
              <w:tblW w:w="47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4214"/>
              <w:gridCol w:w="1338"/>
              <w:gridCol w:w="1436"/>
            </w:tblGrid>
            <w:tr w14:paraId="017B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8A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1"/>
                      <w:szCs w:val="21"/>
                      <w:highlight w:val="none"/>
                      <w:u w:val="none"/>
                      <w:lang w:val="en-US" w:eastAsia="zh-CN"/>
                    </w:rPr>
                    <w:t>序号</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EF2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设备名称</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F1C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单位</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BA2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数量</w:t>
                  </w:r>
                </w:p>
              </w:tc>
            </w:tr>
            <w:tr w14:paraId="70E7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F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601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AI结构化球机</w:t>
                  </w:r>
                  <w:r>
                    <w:rPr>
                      <w:rFonts w:hint="eastAsia" w:ascii="宋体" w:hAnsi="宋体" w:cs="宋体"/>
                      <w:i w:val="0"/>
                      <w:iCs w:val="0"/>
                      <w:color w:val="auto"/>
                      <w:kern w:val="0"/>
                      <w:sz w:val="21"/>
                      <w:szCs w:val="21"/>
                      <w:highlight w:val="none"/>
                      <w:u w:val="none"/>
                      <w:lang w:val="en-US" w:eastAsia="zh-CN"/>
                    </w:rPr>
                    <w:t>（每台球机配置不低于512 GB MicroSD卡存储）（含电源及安装支架）</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91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97D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120.000</w:t>
                  </w:r>
                </w:p>
              </w:tc>
            </w:tr>
            <w:tr w14:paraId="09E8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5CCE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1"/>
                      <w:szCs w:val="21"/>
                      <w:highlight w:val="none"/>
                      <w:u w:val="none"/>
                      <w:lang w:val="en-US" w:eastAsia="zh-CN"/>
                    </w:rPr>
                    <w:t>AI枪机</w:t>
                  </w:r>
                  <w:r>
                    <w:rPr>
                      <w:rFonts w:hint="eastAsia" w:ascii="宋体" w:hAnsi="宋体" w:cs="宋体"/>
                      <w:i w:val="0"/>
                      <w:iCs w:val="0"/>
                      <w:color w:val="auto"/>
                      <w:kern w:val="0"/>
                      <w:sz w:val="21"/>
                      <w:szCs w:val="21"/>
                      <w:highlight w:val="none"/>
                      <w:u w:val="none"/>
                      <w:lang w:val="en-US" w:eastAsia="zh-CN"/>
                    </w:rPr>
                    <w:t>（每台枪机不低于256</w:t>
                  </w:r>
                  <w:r>
                    <w:rPr>
                      <w:rFonts w:hint="eastAsia"/>
                      <w:color w:val="auto"/>
                      <w:highlight w:val="none"/>
                    </w:rPr>
                    <w:t>GB MicroSD卡存储</w:t>
                  </w:r>
                  <w:r>
                    <w:rPr>
                      <w:rFonts w:hint="eastAsia" w:ascii="宋体" w:hAnsi="宋体" w:cs="宋体"/>
                      <w:i w:val="0"/>
                      <w:iCs w:val="0"/>
                      <w:color w:val="auto"/>
                      <w:kern w:val="0"/>
                      <w:sz w:val="21"/>
                      <w:szCs w:val="21"/>
                      <w:highlight w:val="none"/>
                      <w:u w:val="none"/>
                      <w:lang w:val="en-US" w:eastAsia="zh-CN"/>
                    </w:rPr>
                    <w:t>）（含电源及安装支架）</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2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806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100.000</w:t>
                  </w:r>
                </w:p>
              </w:tc>
            </w:tr>
            <w:tr w14:paraId="5F1C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9EB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4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143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14:paraId="4023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8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B3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78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E5C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48.000</w:t>
                  </w:r>
                </w:p>
              </w:tc>
            </w:tr>
            <w:tr w14:paraId="70E4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A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EE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巡检工作站</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F8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56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r>
            <w:tr w14:paraId="5E0A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7FE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矩阵切换器</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4D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45A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r>
            <w:tr w14:paraId="7761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exac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6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99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电箱</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AE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2BF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20.000</w:t>
                  </w:r>
                </w:p>
              </w:tc>
            </w:tr>
          </w:tbl>
          <w:p w14:paraId="0A8D10AB">
            <w:pPr>
              <w:pStyle w:val="11"/>
              <w:jc w:val="both"/>
              <w:rPr>
                <w:rFonts w:hint="default" w:eastAsia="宋体"/>
                <w:color w:val="auto"/>
                <w:highlight w:val="none"/>
                <w:lang w:val="en-US" w:eastAsia="zh-CN"/>
              </w:rPr>
            </w:pPr>
          </w:p>
          <w:p w14:paraId="40DE5B8E">
            <w:pPr>
              <w:pStyle w:val="11"/>
              <w:jc w:val="both"/>
              <w:rPr>
                <w:rFonts w:hint="default" w:eastAsia="宋体"/>
                <w:b/>
                <w:bCs/>
                <w:color w:val="auto"/>
                <w:highlight w:val="none"/>
                <w:lang w:val="en-US" w:eastAsia="zh-CN"/>
              </w:rPr>
            </w:pPr>
            <w:r>
              <w:rPr>
                <w:rFonts w:hint="eastAsia"/>
                <w:b/>
                <w:bCs/>
                <w:color w:val="auto"/>
                <w:highlight w:val="none"/>
                <w:lang w:val="en-US" w:eastAsia="zh-CN"/>
              </w:rPr>
              <w:t>2、详细技术参数</w:t>
            </w:r>
          </w:p>
          <w:tbl>
            <w:tblPr>
              <w:tblStyle w:val="9"/>
              <w:tblW w:w="8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586"/>
            </w:tblGrid>
            <w:tr w14:paraId="7211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Align w:val="top"/>
                </w:tcPr>
                <w:p w14:paraId="597C613E">
                  <w:pPr>
                    <w:pStyle w:val="11"/>
                    <w:widowControl w:val="0"/>
                    <w:numPr>
                      <w:ilvl w:val="0"/>
                      <w:numId w:val="0"/>
                    </w:numPr>
                    <w:ind w:left="0" w:leftChars="0" w:firstLine="0" w:firstLineChars="0"/>
                    <w:jc w:val="center"/>
                    <w:rPr>
                      <w:rFonts w:hint="default" w:eastAsia="宋体"/>
                      <w:color w:val="auto"/>
                      <w:highlight w:val="none"/>
                      <w:vertAlign w:val="baseline"/>
                      <w:lang w:val="en-US" w:eastAsia="zh-CN"/>
                    </w:rPr>
                  </w:pPr>
                  <w:r>
                    <w:rPr>
                      <w:rFonts w:hint="eastAsia"/>
                      <w:b/>
                      <w:bCs/>
                      <w:color w:val="auto"/>
                      <w:highlight w:val="none"/>
                      <w:vertAlign w:val="baseline"/>
                      <w:lang w:eastAsia="zh-CN"/>
                    </w:rPr>
                    <w:t>序号</w:t>
                  </w:r>
                </w:p>
              </w:tc>
              <w:tc>
                <w:tcPr>
                  <w:tcW w:w="7586" w:type="dxa"/>
                  <w:vAlign w:val="top"/>
                </w:tcPr>
                <w:p w14:paraId="1E3FC1DD">
                  <w:pPr>
                    <w:pStyle w:val="11"/>
                    <w:widowControl w:val="0"/>
                    <w:numPr>
                      <w:ilvl w:val="0"/>
                      <w:numId w:val="0"/>
                    </w:numPr>
                    <w:ind w:left="0" w:leftChars="0" w:firstLine="0" w:firstLineChars="0"/>
                    <w:jc w:val="center"/>
                    <w:rPr>
                      <w:rFonts w:hint="default" w:eastAsia="宋体"/>
                      <w:color w:val="auto"/>
                      <w:highlight w:val="none"/>
                      <w:vertAlign w:val="baseline"/>
                      <w:lang w:val="en-US" w:eastAsia="zh-CN"/>
                    </w:rPr>
                  </w:pPr>
                  <w:r>
                    <w:rPr>
                      <w:rFonts w:hint="eastAsia"/>
                      <w:b/>
                      <w:bCs/>
                      <w:color w:val="auto"/>
                      <w:highlight w:val="none"/>
                      <w:vertAlign w:val="baseline"/>
                      <w:lang w:eastAsia="zh-CN"/>
                    </w:rPr>
                    <w:t>参数要求</w:t>
                  </w:r>
                </w:p>
              </w:tc>
            </w:tr>
            <w:tr w14:paraId="6AC0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0" w:hRule="atLeast"/>
              </w:trPr>
              <w:tc>
                <w:tcPr>
                  <w:tcW w:w="527" w:type="dxa"/>
                  <w:shd w:val="clear" w:color="auto" w:fill="auto"/>
                  <w:vAlign w:val="center"/>
                </w:tcPr>
                <w:p w14:paraId="1183431C">
                  <w:pPr>
                    <w:pStyle w:val="11"/>
                    <w:widowControl w:val="0"/>
                    <w:numPr>
                      <w:ilvl w:val="0"/>
                      <w:numId w:val="0"/>
                    </w:numPr>
                    <w:ind w:left="0" w:leftChars="0" w:firstLine="0" w:firstLineChars="0"/>
                    <w:jc w:val="center"/>
                    <w:rPr>
                      <w:rFonts w:hint="default" w:ascii="Calibri" w:hAnsi="Calibri" w:eastAsia="宋体" w:cs="宋体"/>
                      <w:b/>
                      <w:bCs/>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AI结构化球机</w:t>
                  </w:r>
                </w:p>
              </w:tc>
              <w:tc>
                <w:tcPr>
                  <w:tcW w:w="7586" w:type="dxa"/>
                  <w:shd w:val="clear" w:color="auto" w:fill="auto"/>
                  <w:vAlign w:val="top"/>
                </w:tcPr>
                <w:tbl>
                  <w:tblPr>
                    <w:tblStyle w:val="8"/>
                    <w:tblW w:w="7048" w:type="dxa"/>
                    <w:tblInd w:w="0" w:type="dxa"/>
                    <w:tblLayout w:type="fixed"/>
                    <w:tblCellMar>
                      <w:top w:w="0" w:type="dxa"/>
                      <w:left w:w="108" w:type="dxa"/>
                      <w:bottom w:w="0" w:type="dxa"/>
                      <w:right w:w="108" w:type="dxa"/>
                    </w:tblCellMar>
                  </w:tblPr>
                  <w:tblGrid>
                    <w:gridCol w:w="428"/>
                    <w:gridCol w:w="6620"/>
                  </w:tblGrid>
                  <w:tr w14:paraId="52284EE5">
                    <w:tblPrEx>
                      <w:tblCellMar>
                        <w:top w:w="0" w:type="dxa"/>
                        <w:left w:w="108" w:type="dxa"/>
                        <w:bottom w:w="0" w:type="dxa"/>
                        <w:right w:w="108" w:type="dxa"/>
                      </w:tblCellMar>
                    </w:tblPrEx>
                    <w:trPr>
                      <w:trHeight w:val="321" w:hRule="atLeast"/>
                    </w:trPr>
                    <w:tc>
                      <w:tcPr>
                        <w:tcW w:w="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0ED8B">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620" w:type="dxa"/>
                        <w:tcBorders>
                          <w:top w:val="single" w:color="auto" w:sz="4" w:space="0"/>
                          <w:left w:val="nil"/>
                          <w:bottom w:val="single" w:color="auto" w:sz="4" w:space="0"/>
                          <w:right w:val="single" w:color="auto" w:sz="4" w:space="0"/>
                        </w:tcBorders>
                        <w:shd w:val="clear" w:color="auto" w:fill="auto"/>
                        <w:vAlign w:val="center"/>
                      </w:tcPr>
                      <w:p w14:paraId="62A12363">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2A5FC466">
                    <w:tblPrEx>
                      <w:tblCellMar>
                        <w:top w:w="0" w:type="dxa"/>
                        <w:left w:w="108" w:type="dxa"/>
                        <w:bottom w:w="0" w:type="dxa"/>
                        <w:right w:w="108" w:type="dxa"/>
                      </w:tblCellMar>
                    </w:tblPrEx>
                    <w:trPr>
                      <w:trHeight w:val="847"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7BF22ADC">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620" w:type="dxa"/>
                        <w:tcBorders>
                          <w:top w:val="nil"/>
                          <w:left w:val="nil"/>
                          <w:bottom w:val="single" w:color="auto" w:sz="4" w:space="0"/>
                          <w:right w:val="single" w:color="auto" w:sz="4" w:space="0"/>
                        </w:tcBorders>
                        <w:shd w:val="clear" w:color="auto" w:fill="auto"/>
                        <w:vAlign w:val="center"/>
                      </w:tcPr>
                      <w:p w14:paraId="15651D6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联动模式下，细节通道和全景通道可进行全结构化抓拍和属性分析；支持全景通道检测到移动目标后，可联动球机进行人脸、人体抓拍，全景检测宽度不小于15米。（需提供公安部检测机构出具的检测报告复印件证明，添加注明招标项目名称的水印，并加盖制造商投标专用章或公章）。</w:t>
                        </w:r>
                      </w:p>
                    </w:tc>
                  </w:tr>
                  <w:tr w14:paraId="197ED387">
                    <w:tblPrEx>
                      <w:tblCellMar>
                        <w:top w:w="0" w:type="dxa"/>
                        <w:left w:w="108" w:type="dxa"/>
                        <w:bottom w:w="0" w:type="dxa"/>
                        <w:right w:w="108" w:type="dxa"/>
                      </w:tblCellMar>
                    </w:tblPrEx>
                    <w:trPr>
                      <w:trHeight w:val="568"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315C77B5">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620" w:type="dxa"/>
                        <w:tcBorders>
                          <w:top w:val="nil"/>
                          <w:left w:val="nil"/>
                          <w:bottom w:val="single" w:color="auto" w:sz="4" w:space="0"/>
                          <w:right w:val="single" w:color="auto" w:sz="4" w:space="0"/>
                        </w:tcBorders>
                        <w:shd w:val="clear" w:color="auto" w:fill="auto"/>
                        <w:vAlign w:val="center"/>
                      </w:tcPr>
                      <w:p w14:paraId="087F600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▲设备在进行主从标定后，联动模式下通过 3D标定键在全景视频图像中选择任意一像素点，球机视频图像可将此点像素点移至视频图像中央，全景镜头的 XY 坐标与球机镜头PTZ坐标标定准确率≥99%；（需提供公安部检测机构出具的检测报告复印件证明，添加注明招标项目名称的水印，并加盖制造商投标专用章或公章）。</w:t>
                        </w:r>
                      </w:p>
                    </w:tc>
                  </w:tr>
                  <w:tr w14:paraId="5585A914">
                    <w:tblPrEx>
                      <w:tblCellMar>
                        <w:top w:w="0" w:type="dxa"/>
                        <w:left w:w="108" w:type="dxa"/>
                        <w:bottom w:w="0" w:type="dxa"/>
                        <w:right w:w="108" w:type="dxa"/>
                      </w:tblCellMar>
                    </w:tblPrEx>
                    <w:trPr>
                      <w:trHeight w:val="568" w:hRule="atLeast"/>
                    </w:trPr>
                    <w:tc>
                      <w:tcPr>
                        <w:tcW w:w="428" w:type="dxa"/>
                        <w:tcBorders>
                          <w:top w:val="nil"/>
                          <w:left w:val="single" w:color="auto" w:sz="4" w:space="0"/>
                          <w:bottom w:val="single" w:color="auto" w:sz="4" w:space="0"/>
                          <w:right w:val="single" w:color="auto" w:sz="4" w:space="0"/>
                        </w:tcBorders>
                        <w:shd w:val="clear" w:color="auto" w:fill="auto"/>
                        <w:noWrap/>
                        <w:vAlign w:val="center"/>
                      </w:tcPr>
                      <w:p w14:paraId="1AB0E4E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620" w:type="dxa"/>
                        <w:tcBorders>
                          <w:top w:val="nil"/>
                          <w:left w:val="nil"/>
                          <w:bottom w:val="single" w:color="auto" w:sz="4" w:space="0"/>
                          <w:right w:val="single" w:color="auto" w:sz="4" w:space="0"/>
                        </w:tcBorders>
                        <w:shd w:val="clear" w:color="auto" w:fill="auto"/>
                        <w:vAlign w:val="center"/>
                      </w:tcPr>
                      <w:p w14:paraId="6849DC9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引导式配置功能，可分为全景通道角度调节、全景联动配置，全景通道混合目标抓拍规则配置、鹰视聚焦配置。（需提供公安部检测机构出具的检测报告复印件证明，添加注明招标项目名称的水印，并加盖制造商投标专用章或公章）。</w:t>
                        </w:r>
                      </w:p>
                    </w:tc>
                  </w:tr>
                  <w:tr w14:paraId="4368A7D9">
                    <w:tblPrEx>
                      <w:tblCellMar>
                        <w:top w:w="0" w:type="dxa"/>
                        <w:left w:w="108" w:type="dxa"/>
                        <w:bottom w:w="0" w:type="dxa"/>
                        <w:right w:w="108" w:type="dxa"/>
                      </w:tblCellMar>
                    </w:tblPrEx>
                    <w:trPr>
                      <w:trHeight w:val="589" w:hRule="atLeast"/>
                    </w:trPr>
                    <w:tc>
                      <w:tcPr>
                        <w:tcW w:w="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05EDD">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620" w:type="dxa"/>
                        <w:tcBorders>
                          <w:top w:val="single" w:color="auto" w:sz="4" w:space="0"/>
                          <w:left w:val="single" w:color="auto" w:sz="4" w:space="0"/>
                          <w:bottom w:val="single" w:color="auto" w:sz="4" w:space="0"/>
                          <w:right w:val="single" w:color="auto" w:sz="4" w:space="0"/>
                        </w:tcBorders>
                        <w:shd w:val="clear" w:color="auto" w:fill="auto"/>
                        <w:vAlign w:val="center"/>
                      </w:tcPr>
                      <w:p w14:paraId="61FF16A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w:t>
                        </w:r>
                        <w:r>
                          <w:rPr>
                            <w:rFonts w:hint="eastAsia" w:ascii="宋体" w:hAnsi="宋体" w:cs="宋体"/>
                            <w:color w:val="auto"/>
                            <w:kern w:val="0"/>
                            <w:sz w:val="21"/>
                            <w:szCs w:val="21"/>
                            <w:highlight w:val="none"/>
                            <w:lang w:val="en-US" w:eastAsia="zh-CN"/>
                          </w:rPr>
                          <w:t>至少</w:t>
                        </w:r>
                        <w:r>
                          <w:rPr>
                            <w:rFonts w:hint="eastAsia" w:ascii="宋体" w:hAnsi="宋体" w:cs="宋体"/>
                            <w:color w:val="auto"/>
                            <w:kern w:val="0"/>
                            <w:sz w:val="21"/>
                            <w:szCs w:val="21"/>
                            <w:highlight w:val="none"/>
                          </w:rPr>
                          <w:t>具有1个RJ45网络接口</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1个micro sd卡槽、1个麦克风</w:t>
                        </w:r>
                        <w:r>
                          <w:rPr>
                            <w:rFonts w:hint="eastAsia" w:ascii="宋体" w:hAnsi="宋体" w:cs="宋体"/>
                            <w:color w:val="auto"/>
                            <w:kern w:val="0"/>
                            <w:sz w:val="21"/>
                            <w:szCs w:val="21"/>
                            <w:highlight w:val="none"/>
                            <w:lang w:eastAsia="zh-CN"/>
                          </w:rPr>
                          <w:t>。</w:t>
                        </w:r>
                      </w:p>
                    </w:tc>
                  </w:tr>
                  <w:tr w14:paraId="3E4454C5">
                    <w:tblPrEx>
                      <w:tblCellMar>
                        <w:top w:w="0" w:type="dxa"/>
                        <w:left w:w="108" w:type="dxa"/>
                        <w:bottom w:w="0" w:type="dxa"/>
                        <w:right w:w="108" w:type="dxa"/>
                      </w:tblCellMar>
                    </w:tblPrEx>
                    <w:trPr>
                      <w:trHeight w:val="542" w:hRule="atLeast"/>
                    </w:trPr>
                    <w:tc>
                      <w:tcPr>
                        <w:tcW w:w="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1B2E8">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p>
                    </w:tc>
                    <w:tc>
                      <w:tcPr>
                        <w:tcW w:w="6620" w:type="dxa"/>
                        <w:tcBorders>
                          <w:top w:val="single" w:color="auto" w:sz="4" w:space="0"/>
                          <w:left w:val="single" w:color="auto" w:sz="4" w:space="0"/>
                          <w:bottom w:val="single" w:color="auto" w:sz="4" w:space="0"/>
                          <w:right w:val="single" w:color="auto" w:sz="4" w:space="0"/>
                        </w:tcBorders>
                        <w:shd w:val="clear" w:color="auto" w:fill="auto"/>
                        <w:vAlign w:val="center"/>
                      </w:tcPr>
                      <w:p w14:paraId="6CC035D9">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可输出</w:t>
                        </w:r>
                        <w:r>
                          <w:rPr>
                            <w:rFonts w:hint="eastAsia" w:ascii="宋体" w:hAnsi="宋体" w:cs="宋体"/>
                            <w:color w:val="auto"/>
                            <w:kern w:val="0"/>
                            <w:sz w:val="21"/>
                            <w:szCs w:val="21"/>
                            <w:highlight w:val="none"/>
                            <w:lang w:val="en-US" w:eastAsia="zh-CN"/>
                          </w:rPr>
                          <w:t>两</w:t>
                        </w:r>
                        <w:r>
                          <w:rPr>
                            <w:rFonts w:hint="eastAsia" w:ascii="宋体" w:hAnsi="宋体" w:cs="宋体"/>
                            <w:color w:val="auto"/>
                            <w:kern w:val="0"/>
                            <w:sz w:val="21"/>
                            <w:szCs w:val="21"/>
                            <w:highlight w:val="none"/>
                          </w:rPr>
                          <w:t>路视频图像：全景通道、细节通道。</w:t>
                        </w:r>
                      </w:p>
                    </w:tc>
                  </w:tr>
                  <w:tr w14:paraId="3CE49169">
                    <w:tblPrEx>
                      <w:tblCellMar>
                        <w:top w:w="0" w:type="dxa"/>
                        <w:left w:w="108" w:type="dxa"/>
                        <w:bottom w:w="0" w:type="dxa"/>
                        <w:right w:w="108" w:type="dxa"/>
                      </w:tblCellMar>
                    </w:tblPrEx>
                    <w:trPr>
                      <w:trHeight w:val="732" w:hRule="atLeast"/>
                    </w:trPr>
                    <w:tc>
                      <w:tcPr>
                        <w:tcW w:w="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B3553">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p>
                    </w:tc>
                    <w:tc>
                      <w:tcPr>
                        <w:tcW w:w="6620" w:type="dxa"/>
                        <w:tcBorders>
                          <w:top w:val="single" w:color="auto" w:sz="4" w:space="0"/>
                          <w:left w:val="single" w:color="auto" w:sz="4" w:space="0"/>
                          <w:bottom w:val="single" w:color="auto" w:sz="4" w:space="0"/>
                          <w:right w:val="single" w:color="auto" w:sz="4" w:space="0"/>
                        </w:tcBorders>
                        <w:shd w:val="clear" w:color="auto" w:fill="auto"/>
                        <w:vAlign w:val="center"/>
                      </w:tcPr>
                      <w:p w14:paraId="09713A0B">
                        <w:pPr>
                          <w:pStyle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全景镜头通道支持分辨率</w:t>
                        </w:r>
                        <w:r>
                          <w:rPr>
                            <w:rFonts w:hint="eastAsia" w:ascii="宋体" w:hAnsi="宋体" w:cs="宋体"/>
                            <w:color w:val="auto"/>
                            <w:kern w:val="0"/>
                            <w:sz w:val="21"/>
                            <w:szCs w:val="21"/>
                            <w:highlight w:val="none"/>
                            <w:lang w:val="en-US" w:eastAsia="zh-CN"/>
                          </w:rPr>
                          <w:t>不小于360</w:t>
                        </w:r>
                        <w:r>
                          <w:rPr>
                            <w:rFonts w:hint="eastAsia" w:ascii="宋体" w:hAnsi="宋体" w:cs="宋体"/>
                            <w:color w:val="auto"/>
                            <w:kern w:val="0"/>
                            <w:sz w:val="21"/>
                            <w:szCs w:val="21"/>
                            <w:highlight w:val="none"/>
                          </w:rPr>
                          <w:t>0x1</w:t>
                        </w:r>
                        <w:r>
                          <w:rPr>
                            <w:rFonts w:hint="eastAsia" w:ascii="宋体" w:hAnsi="宋体" w:cs="宋体"/>
                            <w:color w:val="auto"/>
                            <w:kern w:val="0"/>
                            <w:sz w:val="21"/>
                            <w:szCs w:val="21"/>
                            <w:highlight w:val="none"/>
                            <w:lang w:val="en-US" w:eastAsia="zh-CN"/>
                          </w:rPr>
                          <w:t>60</w:t>
                        </w:r>
                        <w:r>
                          <w:rPr>
                            <w:rFonts w:hint="eastAsia" w:ascii="宋体" w:hAnsi="宋体" w:cs="宋体"/>
                            <w:color w:val="auto"/>
                            <w:kern w:val="0"/>
                            <w:sz w:val="21"/>
                            <w:szCs w:val="21"/>
                            <w:highlight w:val="none"/>
                          </w:rPr>
                          <w:t>0、细节镜头通道支持分辨率</w:t>
                        </w:r>
                        <w:r>
                          <w:rPr>
                            <w:rFonts w:hint="eastAsia" w:ascii="宋体" w:hAnsi="宋体" w:cs="宋体"/>
                            <w:color w:val="auto"/>
                            <w:kern w:val="0"/>
                            <w:sz w:val="21"/>
                            <w:szCs w:val="21"/>
                            <w:highlight w:val="none"/>
                            <w:lang w:val="en-US" w:eastAsia="zh-CN"/>
                          </w:rPr>
                          <w:t>不小于2688</w:t>
                        </w:r>
                        <w:r>
                          <w:rPr>
                            <w:rFonts w:hint="eastAsia" w:ascii="宋体" w:hAnsi="宋体" w:cs="宋体"/>
                            <w:color w:val="auto"/>
                            <w:kern w:val="0"/>
                            <w:sz w:val="21"/>
                            <w:szCs w:val="21"/>
                            <w:highlight w:val="none"/>
                          </w:rPr>
                          <w:t>x1</w:t>
                        </w:r>
                        <w:r>
                          <w:rPr>
                            <w:rFonts w:hint="eastAsia" w:ascii="宋体" w:hAnsi="宋体" w:cs="宋体"/>
                            <w:color w:val="auto"/>
                            <w:kern w:val="0"/>
                            <w:sz w:val="21"/>
                            <w:szCs w:val="21"/>
                            <w:highlight w:val="none"/>
                            <w:lang w:val="en-US" w:eastAsia="zh-CN"/>
                          </w:rPr>
                          <w:t>52</w:t>
                        </w: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球机</w:t>
                        </w:r>
                        <w:r>
                          <w:rPr>
                            <w:rFonts w:hint="eastAsia" w:ascii="宋体" w:hAnsi="宋体" w:cs="宋体"/>
                            <w:color w:val="auto"/>
                            <w:kern w:val="0"/>
                            <w:sz w:val="21"/>
                            <w:szCs w:val="21"/>
                            <w:highlight w:val="none"/>
                          </w:rPr>
                          <w:t>光学变倍不小于</w:t>
                        </w:r>
                        <w:r>
                          <w:rPr>
                            <w:rFonts w:hint="eastAsia" w:ascii="宋体" w:hAnsi="宋体" w:cs="宋体"/>
                            <w:color w:val="auto"/>
                            <w:kern w:val="0"/>
                            <w:sz w:val="21"/>
                            <w:szCs w:val="21"/>
                            <w:highlight w:val="none"/>
                            <w:lang w:val="en-US" w:eastAsia="zh-CN"/>
                          </w:rPr>
                          <w:t>25</w:t>
                        </w:r>
                        <w:r>
                          <w:rPr>
                            <w:rFonts w:hint="eastAsia" w:ascii="宋体" w:hAnsi="宋体" w:cs="宋体"/>
                            <w:color w:val="auto"/>
                            <w:kern w:val="0"/>
                            <w:sz w:val="21"/>
                            <w:szCs w:val="21"/>
                            <w:highlight w:val="none"/>
                          </w:rPr>
                          <w:t>倍</w:t>
                        </w:r>
                        <w:r>
                          <w:rPr>
                            <w:rFonts w:hint="eastAsia" w:ascii="宋体" w:hAnsi="宋体" w:cs="宋体"/>
                            <w:color w:val="auto"/>
                            <w:kern w:val="0"/>
                            <w:sz w:val="21"/>
                            <w:szCs w:val="21"/>
                            <w:highlight w:val="none"/>
                            <w:lang w:eastAsia="zh-CN"/>
                          </w:rPr>
                          <w:t>。</w:t>
                        </w:r>
                      </w:p>
                    </w:tc>
                  </w:tr>
                  <w:tr w14:paraId="3F50FB7F">
                    <w:tblPrEx>
                      <w:tblCellMar>
                        <w:top w:w="0" w:type="dxa"/>
                        <w:left w:w="108" w:type="dxa"/>
                        <w:bottom w:w="0" w:type="dxa"/>
                        <w:right w:w="108" w:type="dxa"/>
                      </w:tblCellMar>
                    </w:tblPrEx>
                    <w:trPr>
                      <w:trHeight w:val="847" w:hRule="atLeast"/>
                    </w:trPr>
                    <w:tc>
                      <w:tcPr>
                        <w:tcW w:w="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E088D">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p>
                    </w:tc>
                    <w:tc>
                      <w:tcPr>
                        <w:tcW w:w="6620" w:type="dxa"/>
                        <w:tcBorders>
                          <w:top w:val="single" w:color="auto" w:sz="4" w:space="0"/>
                          <w:left w:val="single" w:color="auto" w:sz="4" w:space="0"/>
                          <w:bottom w:val="single" w:color="auto" w:sz="4" w:space="0"/>
                          <w:right w:val="single" w:color="auto" w:sz="4" w:space="0"/>
                        </w:tcBorders>
                        <w:shd w:val="clear" w:color="auto" w:fill="auto"/>
                        <w:vAlign w:val="center"/>
                      </w:tcPr>
                      <w:p w14:paraId="771C5B6C">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细节</w:t>
                        </w:r>
                        <w:r>
                          <w:rPr>
                            <w:rFonts w:hint="eastAsia" w:ascii="宋体" w:hAnsi="宋体" w:cs="宋体"/>
                            <w:color w:val="auto"/>
                            <w:kern w:val="0"/>
                            <w:sz w:val="21"/>
                            <w:szCs w:val="21"/>
                            <w:highlight w:val="none"/>
                            <w:lang w:val="en-US" w:eastAsia="zh-CN"/>
                          </w:rPr>
                          <w:t>镜头支持机动车、非机动车、行人等目标检测、跟随、抓拍，支持人脸、车牌、非机动车车牌抠图的功能</w:t>
                        </w:r>
                        <w:r>
                          <w:rPr>
                            <w:rFonts w:hint="eastAsia" w:ascii="宋体" w:hAnsi="宋体" w:cs="宋体"/>
                            <w:color w:val="auto"/>
                            <w:kern w:val="0"/>
                            <w:sz w:val="21"/>
                            <w:szCs w:val="21"/>
                            <w:highlight w:val="none"/>
                          </w:rPr>
                          <w:t>。</w:t>
                        </w:r>
                      </w:p>
                    </w:tc>
                  </w:tr>
                </w:tbl>
                <w:p w14:paraId="7C68AEAE">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alibri" w:hAnsi="Calibri" w:eastAsia="宋体" w:cs="宋体"/>
                      <w:b/>
                      <w:bCs/>
                      <w:color w:val="auto"/>
                      <w:kern w:val="2"/>
                      <w:sz w:val="21"/>
                      <w:szCs w:val="24"/>
                      <w:highlight w:val="none"/>
                      <w:vertAlign w:val="baseline"/>
                      <w:lang w:val="en-US" w:eastAsia="zh-CN" w:bidi="ar-SA"/>
                    </w:rPr>
                  </w:pPr>
                </w:p>
              </w:tc>
            </w:tr>
            <w:tr w14:paraId="5588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shd w:val="clear" w:color="auto" w:fill="auto"/>
                  <w:vAlign w:val="center"/>
                </w:tcPr>
                <w:p w14:paraId="702D9E4B">
                  <w:pPr>
                    <w:pStyle w:val="11"/>
                    <w:widowControl w:val="0"/>
                    <w:numPr>
                      <w:ilvl w:val="0"/>
                      <w:numId w:val="0"/>
                    </w:numPr>
                    <w:ind w:left="0" w:leftChars="0" w:firstLine="0" w:firstLineChars="0"/>
                    <w:jc w:val="center"/>
                    <w:rPr>
                      <w:rFonts w:hint="default" w:ascii="Calibri" w:hAnsi="Calibri" w:eastAsia="宋体" w:cs="宋体"/>
                      <w:b/>
                      <w:bCs/>
                      <w:color w:val="auto"/>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rPr>
                    <w:t>AI枪机</w:t>
                  </w:r>
                </w:p>
              </w:tc>
              <w:tc>
                <w:tcPr>
                  <w:tcW w:w="7586" w:type="dxa"/>
                  <w:shd w:val="clear" w:color="auto" w:fill="auto"/>
                  <w:vAlign w:val="top"/>
                </w:tcPr>
                <w:p w14:paraId="4B2E2AD5">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Calibri" w:hAnsi="Calibri" w:eastAsia="宋体" w:cs="宋体"/>
                      <w:b/>
                      <w:bCs/>
                      <w:color w:val="auto"/>
                      <w:highlight w:val="none"/>
                      <w:vertAlign w:val="baseline"/>
                      <w:lang w:val="en-US" w:eastAsia="zh-CN"/>
                    </w:rPr>
                  </w:pPr>
                </w:p>
                <w:tbl>
                  <w:tblPr>
                    <w:tblStyle w:val="8"/>
                    <w:tblW w:w="7321" w:type="dxa"/>
                    <w:tblInd w:w="0" w:type="dxa"/>
                    <w:tblLayout w:type="fixed"/>
                    <w:tblCellMar>
                      <w:top w:w="0" w:type="dxa"/>
                      <w:left w:w="108" w:type="dxa"/>
                      <w:bottom w:w="0" w:type="dxa"/>
                      <w:right w:w="108" w:type="dxa"/>
                    </w:tblCellMar>
                  </w:tblPr>
                  <w:tblGrid>
                    <w:gridCol w:w="552"/>
                    <w:gridCol w:w="6769"/>
                  </w:tblGrid>
                  <w:tr w14:paraId="73B16BF3">
                    <w:tblPrEx>
                      <w:tblCellMar>
                        <w:top w:w="0" w:type="dxa"/>
                        <w:left w:w="108" w:type="dxa"/>
                        <w:bottom w:w="0" w:type="dxa"/>
                        <w:right w:w="108" w:type="dxa"/>
                      </w:tblCellMar>
                    </w:tblPrEx>
                    <w:trPr>
                      <w:trHeight w:val="315" w:hRule="atLeast"/>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6A07F74">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769" w:type="dxa"/>
                        <w:tcBorders>
                          <w:top w:val="single" w:color="auto" w:sz="4" w:space="0"/>
                          <w:left w:val="nil"/>
                          <w:bottom w:val="single" w:color="auto" w:sz="4" w:space="0"/>
                          <w:right w:val="single" w:color="auto" w:sz="4" w:space="0"/>
                        </w:tcBorders>
                        <w:shd w:val="clear" w:color="auto" w:fill="auto"/>
                        <w:vAlign w:val="center"/>
                      </w:tcPr>
                      <w:p w14:paraId="2275AFC9">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64A703DC">
                    <w:tblPrEx>
                      <w:tblCellMar>
                        <w:top w:w="0" w:type="dxa"/>
                        <w:left w:w="108" w:type="dxa"/>
                        <w:bottom w:w="0" w:type="dxa"/>
                        <w:right w:w="108" w:type="dxa"/>
                      </w:tblCellMar>
                    </w:tblPrEx>
                    <w:trPr>
                      <w:trHeight w:val="315"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15D733E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769" w:type="dxa"/>
                        <w:tcBorders>
                          <w:top w:val="nil"/>
                          <w:left w:val="nil"/>
                          <w:bottom w:val="single" w:color="auto" w:sz="4" w:space="0"/>
                          <w:right w:val="single" w:color="auto" w:sz="4" w:space="0"/>
                        </w:tcBorders>
                        <w:shd w:val="clear" w:color="auto" w:fill="auto"/>
                        <w:vAlign w:val="center"/>
                      </w:tcPr>
                      <w:p w14:paraId="665CDF37">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同时对检测区域内出现的人脸、人体、非机动车、车辆及车牌进行检测、框选、筛选抓拍，存储抓拍的图片，并支持识别、存储、上报车牌号码；支持关联显示人脸和人体图片、车牌和车辆图片，支持新能源车牌的抓拍和识别。（需提供公安部检测机构出具的检测报告复印件证明，添加注明招标项目名称的水印，并加盖制造商投标专用章或公章）。</w:t>
                        </w:r>
                      </w:p>
                    </w:tc>
                  </w:tr>
                  <w:tr w14:paraId="2C27698A">
                    <w:tblPrEx>
                      <w:tblCellMar>
                        <w:top w:w="0" w:type="dxa"/>
                        <w:left w:w="108" w:type="dxa"/>
                        <w:bottom w:w="0" w:type="dxa"/>
                        <w:right w:w="108" w:type="dxa"/>
                      </w:tblCellMar>
                    </w:tblPrEx>
                    <w:trPr>
                      <w:trHeight w:val="315"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25B63FC0">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769" w:type="dxa"/>
                        <w:tcBorders>
                          <w:top w:val="nil"/>
                          <w:left w:val="nil"/>
                          <w:bottom w:val="single" w:color="auto" w:sz="4" w:space="0"/>
                          <w:right w:val="single" w:color="auto" w:sz="4" w:space="0"/>
                        </w:tcBorders>
                        <w:shd w:val="clear" w:color="auto" w:fill="auto"/>
                        <w:vAlign w:val="center"/>
                      </w:tcPr>
                      <w:p w14:paraId="2FFCA5E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▲设备支持不低于16颗补光灯，支持远光灯、近光灯，当环境照度降低至一定值时，设备可自动开启补光灯补光，设备在白天、夜晚均应输出彩色视频图像。</w:t>
                        </w:r>
                      </w:p>
                    </w:tc>
                  </w:tr>
                  <w:tr w14:paraId="209C20B1">
                    <w:tblPrEx>
                      <w:tblCellMar>
                        <w:top w:w="0" w:type="dxa"/>
                        <w:left w:w="108" w:type="dxa"/>
                        <w:bottom w:w="0" w:type="dxa"/>
                        <w:right w:w="108" w:type="dxa"/>
                      </w:tblCellMar>
                    </w:tblPrEx>
                    <w:trPr>
                      <w:trHeight w:val="315"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64832D2C">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769" w:type="dxa"/>
                        <w:tcBorders>
                          <w:top w:val="nil"/>
                          <w:left w:val="nil"/>
                          <w:bottom w:val="single" w:color="auto" w:sz="4" w:space="0"/>
                          <w:right w:val="single" w:color="auto" w:sz="4" w:space="0"/>
                        </w:tcBorders>
                        <w:shd w:val="clear" w:color="auto" w:fill="auto"/>
                        <w:vAlign w:val="center"/>
                      </w:tcPr>
                      <w:p w14:paraId="636E1A80">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▲镜头和补光灯分舱体左右布局，镜头舱体凸出补光平面。（需提供公安部检测机构出具的检测报告复印件证明，添加注明招标项目名称的水印，并加盖制造商投标专用章或公章）。</w:t>
                        </w:r>
                      </w:p>
                    </w:tc>
                  </w:tr>
                  <w:tr w14:paraId="4448621C">
                    <w:tblPrEx>
                      <w:tblCellMar>
                        <w:top w:w="0" w:type="dxa"/>
                        <w:left w:w="108" w:type="dxa"/>
                        <w:bottom w:w="0" w:type="dxa"/>
                        <w:right w:w="108" w:type="dxa"/>
                      </w:tblCellMar>
                    </w:tblPrEx>
                    <w:trPr>
                      <w:trHeight w:val="315"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5A88ED7F">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769" w:type="dxa"/>
                        <w:tcBorders>
                          <w:top w:val="nil"/>
                          <w:left w:val="nil"/>
                          <w:bottom w:val="single" w:color="auto" w:sz="4" w:space="0"/>
                          <w:right w:val="single" w:color="auto" w:sz="4" w:space="0"/>
                        </w:tcBorders>
                        <w:shd w:val="clear" w:color="auto" w:fill="auto"/>
                        <w:vAlign w:val="center"/>
                      </w:tcPr>
                      <w:p w14:paraId="7244DD5C">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支持输出2560×1440@25fps主码流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内置CPU/GPU/NPU智能算法芯片。支持GB35114 A级安全加密，GB28181、GA1400标准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支持实时定位功能，支持北斗定位模式，可在监控画面</w:t>
                        </w:r>
                        <w:r>
                          <w:rPr>
                            <w:rFonts w:hint="eastAsia" w:ascii="宋体" w:hAnsi="宋体" w:cs="宋体"/>
                            <w:color w:val="auto"/>
                            <w:kern w:val="0"/>
                            <w:sz w:val="21"/>
                            <w:szCs w:val="21"/>
                            <w:highlight w:val="none"/>
                            <w:lang w:eastAsia="zh-CN"/>
                          </w:rPr>
                          <w:t>按国标模式</w:t>
                        </w:r>
                        <w:r>
                          <w:rPr>
                            <w:rFonts w:hint="eastAsia" w:ascii="宋体" w:hAnsi="宋体" w:cs="宋体"/>
                            <w:color w:val="auto"/>
                            <w:kern w:val="0"/>
                            <w:sz w:val="21"/>
                            <w:szCs w:val="21"/>
                            <w:highlight w:val="none"/>
                          </w:rPr>
                          <w:t>叠加</w:t>
                        </w:r>
                        <w:r>
                          <w:rPr>
                            <w:rFonts w:hint="eastAsia" w:ascii="宋体" w:hAnsi="宋体" w:cs="宋体"/>
                            <w:color w:val="auto"/>
                            <w:kern w:val="0"/>
                            <w:sz w:val="21"/>
                            <w:szCs w:val="21"/>
                            <w:highlight w:val="none"/>
                            <w:lang w:val="en-US" w:eastAsia="zh-CN"/>
                          </w:rPr>
                          <w:t>OSD</w:t>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lang w:eastAsia="zh-CN"/>
                          </w:rPr>
                          <w:t>。</w:t>
                        </w:r>
                      </w:p>
                    </w:tc>
                  </w:tr>
                  <w:tr w14:paraId="6F54B902">
                    <w:tblPrEx>
                      <w:tblCellMar>
                        <w:top w:w="0" w:type="dxa"/>
                        <w:left w:w="108" w:type="dxa"/>
                        <w:bottom w:w="0" w:type="dxa"/>
                        <w:right w:w="108" w:type="dxa"/>
                      </w:tblCellMar>
                    </w:tblPrEx>
                    <w:trPr>
                      <w:trHeight w:val="620"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7D3BB66E">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6769" w:type="dxa"/>
                        <w:tcBorders>
                          <w:top w:val="nil"/>
                          <w:left w:val="nil"/>
                          <w:bottom w:val="single" w:color="auto" w:sz="4" w:space="0"/>
                          <w:right w:val="single" w:color="auto" w:sz="4" w:space="0"/>
                        </w:tcBorders>
                        <w:shd w:val="clear" w:color="auto" w:fill="auto"/>
                        <w:vAlign w:val="center"/>
                      </w:tcPr>
                      <w:p w14:paraId="508541B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光源设计减少对蚊虫吸引，镜灯分离，减少蚊虫、蜘蛛对视窗画面的干扰；高分子涂层和圆润前盖，降低蜘蛛结网概率。</w:t>
                        </w:r>
                      </w:p>
                    </w:tc>
                  </w:tr>
                  <w:tr w14:paraId="76431ABB">
                    <w:tblPrEx>
                      <w:tblCellMar>
                        <w:top w:w="0" w:type="dxa"/>
                        <w:left w:w="108" w:type="dxa"/>
                        <w:bottom w:w="0" w:type="dxa"/>
                        <w:right w:w="108" w:type="dxa"/>
                      </w:tblCellMar>
                    </w:tblPrEx>
                    <w:trPr>
                      <w:trHeight w:val="393"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439EC05C">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769" w:type="dxa"/>
                        <w:tcBorders>
                          <w:top w:val="nil"/>
                          <w:left w:val="nil"/>
                          <w:bottom w:val="single" w:color="auto" w:sz="4" w:space="0"/>
                          <w:right w:val="single" w:color="auto" w:sz="4" w:space="0"/>
                        </w:tcBorders>
                        <w:shd w:val="clear" w:color="auto" w:fill="auto"/>
                        <w:vAlign w:val="center"/>
                      </w:tcPr>
                      <w:p w14:paraId="40B34B91">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支持对出现在监控场景内的两眼瞳距不小于40像素的人脸进行检测</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支持侧脸过滤功能，可过滤上下、左右倾斜角度超过预设值的人脸</w:t>
                        </w:r>
                      </w:p>
                    </w:tc>
                  </w:tr>
                  <w:tr w14:paraId="386D88FB">
                    <w:tblPrEx>
                      <w:tblCellMar>
                        <w:top w:w="0" w:type="dxa"/>
                        <w:left w:w="108" w:type="dxa"/>
                        <w:bottom w:w="0" w:type="dxa"/>
                        <w:right w:w="108" w:type="dxa"/>
                      </w:tblCellMar>
                    </w:tblPrEx>
                    <w:trPr>
                      <w:trHeight w:val="620" w:hRule="atLeast"/>
                    </w:trPr>
                    <w:tc>
                      <w:tcPr>
                        <w:tcW w:w="552" w:type="dxa"/>
                        <w:tcBorders>
                          <w:top w:val="nil"/>
                          <w:left w:val="single" w:color="auto" w:sz="4" w:space="0"/>
                          <w:bottom w:val="single" w:color="auto" w:sz="4" w:space="0"/>
                          <w:right w:val="single" w:color="auto" w:sz="4" w:space="0"/>
                        </w:tcBorders>
                        <w:shd w:val="clear" w:color="auto" w:fill="auto"/>
                        <w:vAlign w:val="center"/>
                      </w:tcPr>
                      <w:p w14:paraId="51F8525F">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6769" w:type="dxa"/>
                        <w:tcBorders>
                          <w:top w:val="nil"/>
                          <w:left w:val="nil"/>
                          <w:bottom w:val="single" w:color="auto" w:sz="4" w:space="0"/>
                          <w:right w:val="single" w:color="auto" w:sz="4" w:space="0"/>
                        </w:tcBorders>
                        <w:shd w:val="clear" w:color="auto" w:fill="auto"/>
                        <w:vAlign w:val="center"/>
                      </w:tcPr>
                      <w:p w14:paraId="6D23AA7D">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内置1个麦克风，1个扬声器，支持1路报警输入，1路报警输出，1路音频输入，1路音频输出，1个定位模块，1个RS485接口，支持DC12V/POE供电。支持标准的512 GB Micro SD/Micro SDHC/Micro SDXC卡存储插槽。</w:t>
                        </w:r>
                      </w:p>
                    </w:tc>
                  </w:tr>
                </w:tbl>
                <w:p w14:paraId="77186BE5">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Calibri" w:hAnsi="Calibri" w:eastAsia="宋体" w:cs="宋体"/>
                      <w:b/>
                      <w:bCs/>
                      <w:color w:val="auto"/>
                      <w:highlight w:val="none"/>
                      <w:vertAlign w:val="baseline"/>
                      <w:lang w:val="en-US" w:eastAsia="zh-CN"/>
                    </w:rPr>
                  </w:pPr>
                </w:p>
                <w:p w14:paraId="1E345DE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Calibri" w:hAnsi="Calibri" w:eastAsia="宋体" w:cs="宋体"/>
                      <w:b/>
                      <w:bCs/>
                      <w:color w:val="auto"/>
                      <w:highlight w:val="none"/>
                      <w:vertAlign w:val="baseline"/>
                      <w:lang w:val="en-US" w:eastAsia="zh-CN"/>
                    </w:rPr>
                  </w:pPr>
                </w:p>
              </w:tc>
            </w:tr>
            <w:tr w14:paraId="32DB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527" w:type="dxa"/>
                  <w:vAlign w:val="center"/>
                </w:tcPr>
                <w:p w14:paraId="30CF0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7586" w:type="dxa"/>
                  <w:vAlign w:val="center"/>
                </w:tcPr>
                <w:tbl>
                  <w:tblPr>
                    <w:tblStyle w:val="8"/>
                    <w:tblW w:w="4772" w:type="pct"/>
                    <w:jc w:val="center"/>
                    <w:tblLayout w:type="fixed"/>
                    <w:tblCellMar>
                      <w:top w:w="0" w:type="dxa"/>
                      <w:left w:w="108" w:type="dxa"/>
                      <w:bottom w:w="0" w:type="dxa"/>
                      <w:right w:w="108" w:type="dxa"/>
                    </w:tblCellMar>
                  </w:tblPr>
                  <w:tblGrid>
                    <w:gridCol w:w="513"/>
                    <w:gridCol w:w="6521"/>
                  </w:tblGrid>
                  <w:tr w14:paraId="1749B077">
                    <w:tblPrEx>
                      <w:tblCellMar>
                        <w:top w:w="0" w:type="dxa"/>
                        <w:left w:w="108" w:type="dxa"/>
                        <w:bottom w:w="0" w:type="dxa"/>
                        <w:right w:w="108" w:type="dxa"/>
                      </w:tblCellMar>
                    </w:tblPrEx>
                    <w:trPr>
                      <w:trHeight w:val="437" w:hRule="atLeast"/>
                      <w:jc w:val="center"/>
                    </w:trPr>
                    <w:tc>
                      <w:tcPr>
                        <w:tcW w:w="364" w:type="pct"/>
                        <w:tcBorders>
                          <w:top w:val="single" w:color="auto" w:sz="4" w:space="0"/>
                          <w:left w:val="single" w:color="auto" w:sz="4" w:space="0"/>
                          <w:bottom w:val="single" w:color="auto" w:sz="4" w:space="0"/>
                          <w:right w:val="single" w:color="auto" w:sz="4" w:space="0"/>
                        </w:tcBorders>
                        <w:noWrap/>
                        <w:vAlign w:val="center"/>
                      </w:tcPr>
                      <w:p w14:paraId="11E5134B">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序号</w:t>
                        </w:r>
                      </w:p>
                    </w:tc>
                    <w:tc>
                      <w:tcPr>
                        <w:tcW w:w="4635" w:type="pct"/>
                        <w:tcBorders>
                          <w:top w:val="single" w:color="auto" w:sz="4" w:space="0"/>
                          <w:left w:val="nil"/>
                          <w:bottom w:val="single" w:color="auto" w:sz="4" w:space="0"/>
                          <w:right w:val="single" w:color="auto" w:sz="4" w:space="0"/>
                        </w:tcBorders>
                        <w:vAlign w:val="center"/>
                      </w:tcPr>
                      <w:p w14:paraId="1D850F77">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技术功能需求</w:t>
                        </w:r>
                      </w:p>
                    </w:tc>
                  </w:tr>
                  <w:tr w14:paraId="2A6AFC59">
                    <w:tblPrEx>
                      <w:tblCellMar>
                        <w:top w:w="0" w:type="dxa"/>
                        <w:left w:w="108" w:type="dxa"/>
                        <w:bottom w:w="0" w:type="dxa"/>
                        <w:right w:w="108" w:type="dxa"/>
                      </w:tblCellMar>
                    </w:tblPrEx>
                    <w:trPr>
                      <w:trHeight w:val="483" w:hRule="atLeast"/>
                      <w:jc w:val="center"/>
                    </w:trPr>
                    <w:tc>
                      <w:tcPr>
                        <w:tcW w:w="364" w:type="pct"/>
                        <w:tcBorders>
                          <w:top w:val="nil"/>
                          <w:left w:val="single" w:color="auto" w:sz="4" w:space="0"/>
                          <w:bottom w:val="single" w:color="auto" w:sz="4" w:space="0"/>
                          <w:right w:val="single" w:color="auto" w:sz="4" w:space="0"/>
                        </w:tcBorders>
                        <w:noWrap/>
                        <w:vAlign w:val="center"/>
                      </w:tcPr>
                      <w:p w14:paraId="0B0F29F1">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p>
                    </w:tc>
                    <w:tc>
                      <w:tcPr>
                        <w:tcW w:w="4635" w:type="pct"/>
                        <w:tcBorders>
                          <w:top w:val="nil"/>
                          <w:left w:val="nil"/>
                          <w:bottom w:val="single" w:color="auto" w:sz="4" w:space="0"/>
                          <w:right w:val="single" w:color="auto" w:sz="4" w:space="0"/>
                        </w:tcBorders>
                        <w:vAlign w:val="center"/>
                      </w:tcPr>
                      <w:p w14:paraId="784D720F">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存储系统支持与视频监控平台、虚拟化平台对接；一套存储系统支持同时给多个视频监控平台系统提供服务，可提供视频监控业务，具备容错处理能力。</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09B2D1C0">
                    <w:tblPrEx>
                      <w:tblCellMar>
                        <w:top w:w="0" w:type="dxa"/>
                        <w:left w:w="108" w:type="dxa"/>
                        <w:bottom w:w="0" w:type="dxa"/>
                        <w:right w:w="108" w:type="dxa"/>
                      </w:tblCellMar>
                    </w:tblPrEx>
                    <w:trPr>
                      <w:trHeight w:val="246" w:hRule="atLeast"/>
                      <w:jc w:val="center"/>
                    </w:trPr>
                    <w:tc>
                      <w:tcPr>
                        <w:tcW w:w="364" w:type="pct"/>
                        <w:tcBorders>
                          <w:top w:val="nil"/>
                          <w:left w:val="single" w:color="auto" w:sz="4" w:space="0"/>
                          <w:bottom w:val="single" w:color="auto" w:sz="4" w:space="0"/>
                          <w:right w:val="single" w:color="auto" w:sz="4" w:space="0"/>
                        </w:tcBorders>
                        <w:noWrap/>
                        <w:vAlign w:val="center"/>
                      </w:tcPr>
                      <w:p w14:paraId="45E2DBA7">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p>
                    </w:tc>
                    <w:tc>
                      <w:tcPr>
                        <w:tcW w:w="4635" w:type="pct"/>
                        <w:tcBorders>
                          <w:top w:val="nil"/>
                          <w:left w:val="nil"/>
                          <w:bottom w:val="single" w:color="auto" w:sz="4" w:space="0"/>
                          <w:right w:val="single" w:color="auto" w:sz="4" w:space="0"/>
                        </w:tcBorders>
                        <w:vAlign w:val="center"/>
                      </w:tcPr>
                      <w:p w14:paraId="0E702299">
                        <w:pPr>
                          <w:widowControl/>
                          <w:snapToGrid w:val="0"/>
                          <w:jc w:val="left"/>
                          <w:rPr>
                            <w:rFonts w:ascii="宋体" w:hAnsi="宋体"/>
                            <w:color w:val="auto"/>
                            <w:sz w:val="21"/>
                            <w:szCs w:val="21"/>
                            <w:highlight w:val="none"/>
                          </w:rPr>
                        </w:pPr>
                        <w:r>
                          <w:rPr>
                            <w:rFonts w:hint="eastAsia"/>
                            <w:color w:val="auto"/>
                            <w:sz w:val="21"/>
                            <w:highlight w:val="none"/>
                          </w:rPr>
                          <w:t>▲</w:t>
                        </w:r>
                        <w:r>
                          <w:rPr>
                            <w:rFonts w:hint="eastAsia" w:ascii="宋体" w:hAnsi="宋体"/>
                            <w:color w:val="auto"/>
                            <w:sz w:val="21"/>
                            <w:szCs w:val="21"/>
                            <w:highlight w:val="none"/>
                          </w:rPr>
                          <w:t>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r>
                          <w:rPr>
                            <w:rFonts w:ascii="宋体" w:hAnsi="宋体"/>
                            <w:color w:val="auto"/>
                            <w:sz w:val="21"/>
                            <w:szCs w:val="21"/>
                            <w:highlight w:val="none"/>
                          </w:rPr>
                          <w:t xml:space="preserve"> </w:t>
                        </w:r>
                      </w:p>
                    </w:tc>
                  </w:tr>
                  <w:tr w14:paraId="14B19C1C">
                    <w:tblPrEx>
                      <w:tblCellMar>
                        <w:top w:w="0" w:type="dxa"/>
                        <w:left w:w="108" w:type="dxa"/>
                        <w:bottom w:w="0" w:type="dxa"/>
                        <w:right w:w="108" w:type="dxa"/>
                      </w:tblCellMar>
                    </w:tblPrEx>
                    <w:trPr>
                      <w:trHeight w:val="483" w:hRule="atLeast"/>
                      <w:jc w:val="center"/>
                    </w:trPr>
                    <w:tc>
                      <w:tcPr>
                        <w:tcW w:w="364" w:type="pct"/>
                        <w:tcBorders>
                          <w:top w:val="nil"/>
                          <w:left w:val="single" w:color="auto" w:sz="4" w:space="0"/>
                          <w:bottom w:val="single" w:color="auto" w:sz="4" w:space="0"/>
                          <w:right w:val="single" w:color="auto" w:sz="4" w:space="0"/>
                        </w:tcBorders>
                        <w:noWrap/>
                        <w:vAlign w:val="center"/>
                      </w:tcPr>
                      <w:p w14:paraId="4AE787FE">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p>
                    </w:tc>
                    <w:tc>
                      <w:tcPr>
                        <w:tcW w:w="4635" w:type="pct"/>
                        <w:tcBorders>
                          <w:top w:val="nil"/>
                          <w:left w:val="nil"/>
                          <w:bottom w:val="single" w:color="auto" w:sz="4" w:space="0"/>
                          <w:right w:val="single" w:color="auto" w:sz="4" w:space="0"/>
                        </w:tcBorders>
                        <w:vAlign w:val="center"/>
                      </w:tcPr>
                      <w:p w14:paraId="7963A343">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管理平台支持对关键程序、关键数据采取备份、冗余措施，具备容错和系统恢复能力，支持对管理平台整体性能有影响的关键设备进行负载均衡；支持管理服务数据备份故障恢复，每隔至少15分钟备份一次，支持历史数据自动清理，数据清理不影响业务运行；</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1BAB7623">
                    <w:tblPrEx>
                      <w:tblCellMar>
                        <w:top w:w="0" w:type="dxa"/>
                        <w:left w:w="108" w:type="dxa"/>
                        <w:bottom w:w="0" w:type="dxa"/>
                        <w:right w:w="108" w:type="dxa"/>
                      </w:tblCellMar>
                    </w:tblPrEx>
                    <w:trPr>
                      <w:trHeight w:val="720" w:hRule="atLeast"/>
                      <w:jc w:val="center"/>
                    </w:trPr>
                    <w:tc>
                      <w:tcPr>
                        <w:tcW w:w="364" w:type="pct"/>
                        <w:tcBorders>
                          <w:top w:val="nil"/>
                          <w:left w:val="single" w:color="auto" w:sz="4" w:space="0"/>
                          <w:bottom w:val="single" w:color="auto" w:sz="4" w:space="0"/>
                          <w:right w:val="single" w:color="auto" w:sz="4" w:space="0"/>
                        </w:tcBorders>
                        <w:noWrap/>
                        <w:vAlign w:val="center"/>
                      </w:tcPr>
                      <w:p w14:paraId="112CAFA2">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p>
                    </w:tc>
                    <w:tc>
                      <w:tcPr>
                        <w:tcW w:w="4635" w:type="pct"/>
                        <w:tcBorders>
                          <w:top w:val="nil"/>
                          <w:left w:val="nil"/>
                          <w:bottom w:val="single" w:color="auto" w:sz="4" w:space="0"/>
                          <w:right w:val="single" w:color="auto" w:sz="4" w:space="0"/>
                        </w:tcBorders>
                        <w:vAlign w:val="center"/>
                      </w:tcPr>
                      <w:p w14:paraId="126299B4">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具有≥</w:t>
                        </w:r>
                        <w:r>
                          <w:rPr>
                            <w:rFonts w:ascii="宋体" w:hAnsi="宋体"/>
                            <w:color w:val="auto"/>
                            <w:sz w:val="21"/>
                            <w:szCs w:val="21"/>
                            <w:highlight w:val="none"/>
                          </w:rPr>
                          <w:t>48</w:t>
                        </w:r>
                        <w:r>
                          <w:rPr>
                            <w:rFonts w:hint="eastAsia" w:ascii="宋体" w:hAnsi="宋体"/>
                            <w:color w:val="auto"/>
                            <w:sz w:val="21"/>
                            <w:szCs w:val="21"/>
                            <w:highlight w:val="none"/>
                          </w:rPr>
                          <w:t>块硬盘热插拔插槽；支持硬盘热插拔设备在读写数据时，热插拔设备内的任意块硬盘，设备正常运行不宕机，硬盘不损坏，数据不丢失，业务不中断。具备数据自愈功能。当硬盘损坏后，系统自动进行数据恢复，保证数据不丢失，业务不中断</w:t>
                        </w:r>
                      </w:p>
                    </w:tc>
                  </w:tr>
                  <w:tr w14:paraId="626DBDAB">
                    <w:tblPrEx>
                      <w:tblCellMar>
                        <w:top w:w="0" w:type="dxa"/>
                        <w:left w:w="108" w:type="dxa"/>
                        <w:bottom w:w="0" w:type="dxa"/>
                        <w:right w:w="108" w:type="dxa"/>
                      </w:tblCellMar>
                    </w:tblPrEx>
                    <w:trPr>
                      <w:trHeight w:val="913" w:hRule="exact"/>
                      <w:jc w:val="center"/>
                    </w:trPr>
                    <w:tc>
                      <w:tcPr>
                        <w:tcW w:w="364" w:type="pct"/>
                        <w:tcBorders>
                          <w:top w:val="nil"/>
                          <w:left w:val="single" w:color="auto" w:sz="4" w:space="0"/>
                          <w:bottom w:val="single" w:color="auto" w:sz="4" w:space="0"/>
                          <w:right w:val="single" w:color="auto" w:sz="4" w:space="0"/>
                        </w:tcBorders>
                        <w:noWrap/>
                        <w:vAlign w:val="center"/>
                      </w:tcPr>
                      <w:p w14:paraId="362573C9">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p>
                    </w:tc>
                    <w:tc>
                      <w:tcPr>
                        <w:tcW w:w="4635" w:type="pct"/>
                        <w:tcBorders>
                          <w:top w:val="nil"/>
                          <w:left w:val="nil"/>
                          <w:bottom w:val="single" w:color="auto" w:sz="4" w:space="0"/>
                          <w:right w:val="single" w:color="auto" w:sz="4" w:space="0"/>
                        </w:tcBorders>
                        <w:vAlign w:val="center"/>
                      </w:tcPr>
                      <w:p w14:paraId="5D7632CB">
                        <w:pPr>
                          <w:widowControl/>
                          <w:snapToGrid w:val="0"/>
                          <w:jc w:val="left"/>
                          <w:rPr>
                            <w:color w:val="auto"/>
                            <w:sz w:val="21"/>
                            <w:highlight w:val="none"/>
                          </w:rPr>
                        </w:pPr>
                        <w:r>
                          <w:rPr>
                            <w:rFonts w:hint="eastAsia" w:ascii="宋体" w:hAnsi="宋体"/>
                            <w:color w:val="auto"/>
                            <w:sz w:val="21"/>
                            <w:szCs w:val="21"/>
                            <w:highlight w:val="none"/>
                          </w:rPr>
                          <w:t>配置：≥1颗64位多核处理器，≥16GB内存，内存支持扩展，内置不低于240GB SSD固态硬盘</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支持GB/T28181、GA/T1400、Onvif、RTSP、H265等标准协议。</w:t>
                        </w:r>
                      </w:p>
                    </w:tc>
                  </w:tr>
                  <w:tr w14:paraId="68B44175">
                    <w:tblPrEx>
                      <w:tblCellMar>
                        <w:top w:w="0" w:type="dxa"/>
                        <w:left w:w="108" w:type="dxa"/>
                        <w:bottom w:w="0" w:type="dxa"/>
                        <w:right w:w="108" w:type="dxa"/>
                      </w:tblCellMar>
                    </w:tblPrEx>
                    <w:trPr>
                      <w:trHeight w:val="882" w:hRule="exact"/>
                      <w:jc w:val="center"/>
                    </w:trPr>
                    <w:tc>
                      <w:tcPr>
                        <w:tcW w:w="364" w:type="pct"/>
                        <w:tcBorders>
                          <w:top w:val="nil"/>
                          <w:left w:val="single" w:color="auto" w:sz="4" w:space="0"/>
                          <w:bottom w:val="single" w:color="auto" w:sz="4" w:space="0"/>
                          <w:right w:val="single" w:color="auto" w:sz="4" w:space="0"/>
                        </w:tcBorders>
                        <w:noWrap/>
                        <w:vAlign w:val="center"/>
                      </w:tcPr>
                      <w:p w14:paraId="108AD448">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p>
                    </w:tc>
                    <w:tc>
                      <w:tcPr>
                        <w:tcW w:w="4635" w:type="pct"/>
                        <w:tcBorders>
                          <w:top w:val="nil"/>
                          <w:left w:val="nil"/>
                          <w:bottom w:val="single" w:color="auto" w:sz="4" w:space="0"/>
                          <w:right w:val="single" w:color="auto" w:sz="4" w:space="0"/>
                        </w:tcBorders>
                        <w:vAlign w:val="center"/>
                      </w:tcPr>
                      <w:p w14:paraId="41ABF8A0">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支持1+1冗余电源供电，额定功耗≤</w:t>
                        </w:r>
                        <w:r>
                          <w:rPr>
                            <w:rFonts w:ascii="宋体" w:hAnsi="宋体"/>
                            <w:color w:val="auto"/>
                            <w:sz w:val="21"/>
                            <w:szCs w:val="21"/>
                            <w:highlight w:val="none"/>
                          </w:rPr>
                          <w:t>120</w:t>
                        </w:r>
                        <w:r>
                          <w:rPr>
                            <w:rFonts w:hint="eastAsia" w:ascii="宋体" w:hAnsi="宋体"/>
                            <w:color w:val="auto"/>
                            <w:sz w:val="21"/>
                            <w:szCs w:val="21"/>
                            <w:highlight w:val="none"/>
                          </w:rPr>
                          <w:t>0W</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支撑8TB、16TB等SATA/SAS企业级硬盘、HDD硬盘、SSD硬盘</w:t>
                        </w:r>
                      </w:p>
                    </w:tc>
                  </w:tr>
                  <w:tr w14:paraId="510F4D97">
                    <w:tblPrEx>
                      <w:tblCellMar>
                        <w:top w:w="0" w:type="dxa"/>
                        <w:left w:w="108" w:type="dxa"/>
                        <w:bottom w:w="0" w:type="dxa"/>
                        <w:right w:w="108" w:type="dxa"/>
                      </w:tblCellMar>
                    </w:tblPrEx>
                    <w:trPr>
                      <w:trHeight w:val="483" w:hRule="atLeast"/>
                      <w:jc w:val="center"/>
                    </w:trPr>
                    <w:tc>
                      <w:tcPr>
                        <w:tcW w:w="364" w:type="pct"/>
                        <w:tcBorders>
                          <w:top w:val="nil"/>
                          <w:left w:val="single" w:color="auto" w:sz="4" w:space="0"/>
                          <w:bottom w:val="single" w:color="auto" w:sz="4" w:space="0"/>
                          <w:right w:val="single" w:color="auto" w:sz="4" w:space="0"/>
                        </w:tcBorders>
                        <w:noWrap/>
                        <w:vAlign w:val="center"/>
                      </w:tcPr>
                      <w:p w14:paraId="10209B9D">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p>
                    </w:tc>
                    <w:tc>
                      <w:tcPr>
                        <w:tcW w:w="4635" w:type="pct"/>
                        <w:tcBorders>
                          <w:top w:val="nil"/>
                          <w:left w:val="nil"/>
                          <w:bottom w:val="single" w:color="auto" w:sz="4" w:space="0"/>
                          <w:right w:val="single" w:color="auto" w:sz="4" w:space="0"/>
                        </w:tcBorders>
                        <w:vAlign w:val="center"/>
                      </w:tcPr>
                      <w:p w14:paraId="6D60CB11">
                        <w:pPr>
                          <w:widowControl/>
                          <w:snapToGrid w:val="0"/>
                          <w:jc w:val="left"/>
                          <w:rPr>
                            <w:rFonts w:ascii="宋体" w:hAnsi="宋体"/>
                            <w:color w:val="auto"/>
                            <w:sz w:val="21"/>
                            <w:szCs w:val="21"/>
                            <w:highlight w:val="none"/>
                          </w:rPr>
                        </w:pPr>
                        <w:r>
                          <w:rPr>
                            <w:rFonts w:hint="eastAsia" w:ascii="宋体" w:hAnsi="宋体"/>
                            <w:color w:val="auto"/>
                            <w:sz w:val="21"/>
                            <w:szCs w:val="21"/>
                            <w:highlight w:val="none"/>
                            <w:lang w:eastAsia="zh-CN"/>
                          </w:rPr>
                          <w:t>能和</w:t>
                        </w:r>
                        <w:r>
                          <w:rPr>
                            <w:rFonts w:hint="eastAsia" w:ascii="宋体" w:hAnsi="宋体"/>
                            <w:color w:val="auto"/>
                            <w:sz w:val="21"/>
                            <w:szCs w:val="21"/>
                            <w:highlight w:val="none"/>
                            <w:lang w:val="en-US" w:eastAsia="zh-CN"/>
                          </w:rPr>
                          <w:t>采购人</w:t>
                        </w:r>
                        <w:r>
                          <w:rPr>
                            <w:rFonts w:hint="eastAsia" w:ascii="宋体" w:hAnsi="宋体"/>
                            <w:color w:val="auto"/>
                            <w:sz w:val="21"/>
                            <w:szCs w:val="21"/>
                            <w:highlight w:val="none"/>
                            <w:lang w:eastAsia="zh-CN"/>
                          </w:rPr>
                          <w:t>现有视频平台和</w:t>
                        </w:r>
                        <w:r>
                          <w:rPr>
                            <w:rFonts w:hint="eastAsia" w:ascii="宋体" w:hAnsi="宋体"/>
                            <w:color w:val="auto"/>
                            <w:sz w:val="21"/>
                            <w:szCs w:val="21"/>
                            <w:highlight w:val="none"/>
                            <w:lang w:val="en-US" w:eastAsia="zh-CN"/>
                          </w:rPr>
                          <w:t>中山市公安</w:t>
                        </w:r>
                        <w:r>
                          <w:rPr>
                            <w:rFonts w:hint="eastAsia" w:ascii="宋体" w:hAnsi="宋体"/>
                            <w:color w:val="auto"/>
                            <w:sz w:val="21"/>
                            <w:szCs w:val="21"/>
                            <w:highlight w:val="none"/>
                            <w:lang w:eastAsia="zh-CN"/>
                          </w:rPr>
                          <w:t>局视频平台无缝对接。</w:t>
                        </w:r>
                      </w:p>
                    </w:tc>
                  </w:tr>
                </w:tbl>
                <w:p w14:paraId="39AC7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p>
              </w:tc>
            </w:tr>
            <w:tr w14:paraId="0C4C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27" w:type="dxa"/>
                  <w:vAlign w:val="center"/>
                </w:tcPr>
                <w:p w14:paraId="0249F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7586" w:type="dxa"/>
                  <w:vAlign w:val="center"/>
                </w:tcPr>
                <w:p w14:paraId="422894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不少于</w:t>
                  </w:r>
                  <w:r>
                    <w:rPr>
                      <w:rFonts w:hint="eastAsia" w:ascii="宋体" w:hAnsi="宋体" w:eastAsia="宋体" w:cs="宋体"/>
                      <w:i w:val="0"/>
                      <w:iCs w:val="0"/>
                      <w:color w:val="auto"/>
                      <w:kern w:val="0"/>
                      <w:sz w:val="20"/>
                      <w:szCs w:val="20"/>
                      <w:highlight w:val="none"/>
                      <w:u w:val="none"/>
                      <w:lang w:val="en-US" w:eastAsia="zh-CN" w:bidi="ar"/>
                    </w:rPr>
                    <w:t>8TB容量，3.5英寸，SATA3.0接口，7200RPM</w:t>
                  </w:r>
                </w:p>
              </w:tc>
            </w:tr>
            <w:tr w14:paraId="01E7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Align w:val="center"/>
                </w:tcPr>
                <w:p w14:paraId="2A63D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巡检工作站</w:t>
                  </w:r>
                </w:p>
              </w:tc>
              <w:tc>
                <w:tcPr>
                  <w:tcW w:w="7586" w:type="dxa"/>
                  <w:vAlign w:val="center"/>
                </w:tcPr>
                <w:tbl>
                  <w:tblPr>
                    <w:tblStyle w:val="8"/>
                    <w:tblW w:w="0" w:type="auto"/>
                    <w:tblInd w:w="-5" w:type="dxa"/>
                    <w:tblLayout w:type="fixed"/>
                    <w:tblCellMar>
                      <w:top w:w="0" w:type="dxa"/>
                      <w:left w:w="108" w:type="dxa"/>
                      <w:bottom w:w="0" w:type="dxa"/>
                      <w:right w:w="108" w:type="dxa"/>
                    </w:tblCellMar>
                  </w:tblPr>
                  <w:tblGrid>
                    <w:gridCol w:w="587"/>
                    <w:gridCol w:w="6767"/>
                  </w:tblGrid>
                  <w:tr w14:paraId="6738674C">
                    <w:tblPrEx>
                      <w:tblCellMar>
                        <w:top w:w="0" w:type="dxa"/>
                        <w:left w:w="108" w:type="dxa"/>
                        <w:bottom w:w="0" w:type="dxa"/>
                        <w:right w:w="108" w:type="dxa"/>
                      </w:tblCellMar>
                    </w:tblPrEx>
                    <w:trPr>
                      <w:trHeight w:val="280" w:hRule="atLeast"/>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1493A">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767" w:type="dxa"/>
                        <w:tcBorders>
                          <w:top w:val="single" w:color="auto" w:sz="4" w:space="0"/>
                          <w:left w:val="nil"/>
                          <w:bottom w:val="single" w:color="auto" w:sz="4" w:space="0"/>
                          <w:right w:val="single" w:color="auto" w:sz="4" w:space="0"/>
                        </w:tcBorders>
                        <w:shd w:val="clear" w:color="auto" w:fill="auto"/>
                        <w:vAlign w:val="center"/>
                      </w:tcPr>
                      <w:p w14:paraId="4E03148E">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70CF33F2">
                    <w:tblPrEx>
                      <w:tblCellMar>
                        <w:top w:w="0" w:type="dxa"/>
                        <w:left w:w="108" w:type="dxa"/>
                        <w:bottom w:w="0" w:type="dxa"/>
                        <w:right w:w="108" w:type="dxa"/>
                      </w:tblCellMar>
                    </w:tblPrEx>
                    <w:trPr>
                      <w:trHeight w:val="56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79DFB508">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767" w:type="dxa"/>
                        <w:tcBorders>
                          <w:top w:val="nil"/>
                          <w:left w:val="nil"/>
                          <w:bottom w:val="single" w:color="auto" w:sz="4" w:space="0"/>
                          <w:right w:val="single" w:color="auto" w:sz="4" w:space="0"/>
                        </w:tcBorders>
                        <w:shd w:val="clear" w:color="auto" w:fill="auto"/>
                        <w:vAlign w:val="center"/>
                      </w:tcPr>
                      <w:p w14:paraId="1630FFB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基于安防客户端，解码性能：支持1080P像素≥20路</w:t>
                        </w:r>
                      </w:p>
                    </w:tc>
                  </w:tr>
                  <w:tr w14:paraId="2C03A3E6">
                    <w:tblPrEx>
                      <w:tblCellMar>
                        <w:top w:w="0" w:type="dxa"/>
                        <w:left w:w="108" w:type="dxa"/>
                        <w:bottom w:w="0" w:type="dxa"/>
                        <w:right w:w="108" w:type="dxa"/>
                      </w:tblCellMar>
                    </w:tblPrEx>
                    <w:trPr>
                      <w:trHeight w:val="56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5808BFA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767" w:type="dxa"/>
                        <w:tcBorders>
                          <w:top w:val="nil"/>
                          <w:left w:val="nil"/>
                          <w:bottom w:val="single" w:color="auto" w:sz="4" w:space="0"/>
                          <w:right w:val="single" w:color="auto" w:sz="4" w:space="0"/>
                        </w:tcBorders>
                        <w:shd w:val="clear" w:color="auto" w:fill="auto"/>
                        <w:vAlign w:val="center"/>
                      </w:tcPr>
                      <w:p w14:paraId="62AD4381">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处理器：主频≥</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Ghz，不低于6核12线程，内存≥</w:t>
                        </w:r>
                        <w:r>
                          <w:rPr>
                            <w:rFonts w:hint="eastAsia" w:ascii="宋体" w:hAnsi="宋体" w:cs="宋体"/>
                            <w:color w:val="auto"/>
                            <w:kern w:val="0"/>
                            <w:sz w:val="21"/>
                            <w:szCs w:val="21"/>
                            <w:highlight w:val="none"/>
                            <w:lang w:val="en-US" w:eastAsia="zh-CN"/>
                          </w:rPr>
                          <w:t>32</w:t>
                        </w:r>
                        <w:r>
                          <w:rPr>
                            <w:rFonts w:hint="eastAsia" w:ascii="宋体" w:hAnsi="宋体" w:cs="宋体"/>
                            <w:color w:val="auto"/>
                            <w:kern w:val="0"/>
                            <w:sz w:val="21"/>
                            <w:szCs w:val="21"/>
                            <w:highlight w:val="none"/>
                          </w:rPr>
                          <w:t>GB</w:t>
                        </w:r>
                        <w:r>
                          <w:rPr>
                            <w:rFonts w:hint="eastAsia" w:ascii="宋体" w:hAnsi="宋体" w:cs="宋体"/>
                            <w:color w:val="auto"/>
                            <w:kern w:val="0"/>
                            <w:sz w:val="21"/>
                            <w:szCs w:val="21"/>
                            <w:highlight w:val="none"/>
                            <w:lang w:val="en-US" w:eastAsia="zh-CN"/>
                          </w:rPr>
                          <w:t xml:space="preserve"> DDR5</w:t>
                        </w:r>
                        <w:r>
                          <w:rPr>
                            <w:rFonts w:hint="eastAsia" w:ascii="宋体" w:hAnsi="宋体" w:cs="宋体"/>
                            <w:color w:val="auto"/>
                            <w:kern w:val="0"/>
                            <w:sz w:val="21"/>
                            <w:szCs w:val="21"/>
                            <w:highlight w:val="none"/>
                          </w:rPr>
                          <w:t>，硬盘：≥1个</w:t>
                        </w:r>
                        <w:r>
                          <w:rPr>
                            <w:rFonts w:hint="eastAsia" w:ascii="宋体" w:hAnsi="宋体" w:cs="宋体"/>
                            <w:color w:val="auto"/>
                            <w:kern w:val="0"/>
                            <w:sz w:val="21"/>
                            <w:szCs w:val="21"/>
                            <w:highlight w:val="none"/>
                            <w:lang w:val="en-US" w:eastAsia="zh-CN"/>
                          </w:rPr>
                          <w:t>1TB</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M.2接口 </w:t>
                        </w:r>
                        <w:r>
                          <w:rPr>
                            <w:rFonts w:hint="eastAsia" w:ascii="宋体" w:hAnsi="宋体" w:cs="宋体"/>
                            <w:color w:val="auto"/>
                            <w:kern w:val="0"/>
                            <w:sz w:val="21"/>
                            <w:szCs w:val="21"/>
                            <w:highlight w:val="none"/>
                          </w:rPr>
                          <w:t>SSD</w:t>
                        </w:r>
                        <w:r>
                          <w:rPr>
                            <w:rFonts w:hint="eastAsia"/>
                            <w:color w:val="auto"/>
                            <w:highlight w:val="none"/>
                            <w:lang w:val="en-US" w:eastAsia="zh-CN"/>
                          </w:rPr>
                          <w:t>硬盘</w:t>
                        </w:r>
                      </w:p>
                    </w:tc>
                  </w:tr>
                  <w:tr w14:paraId="4731B9D5">
                    <w:tblPrEx>
                      <w:tblCellMar>
                        <w:top w:w="0" w:type="dxa"/>
                        <w:left w:w="108" w:type="dxa"/>
                        <w:bottom w:w="0" w:type="dxa"/>
                        <w:right w:w="108" w:type="dxa"/>
                      </w:tblCellMar>
                    </w:tblPrEx>
                    <w:trPr>
                      <w:trHeight w:val="56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22B387F2">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767" w:type="dxa"/>
                        <w:tcBorders>
                          <w:top w:val="nil"/>
                          <w:left w:val="nil"/>
                          <w:bottom w:val="single" w:color="auto" w:sz="4" w:space="0"/>
                          <w:right w:val="single" w:color="auto" w:sz="4" w:space="0"/>
                        </w:tcBorders>
                        <w:shd w:val="clear" w:color="auto" w:fill="auto"/>
                        <w:vAlign w:val="center"/>
                      </w:tcPr>
                      <w:p w14:paraId="5C731D2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显示器：≥2</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英寸，分辨率</w:t>
                        </w:r>
                        <w:r>
                          <w:rPr>
                            <w:rFonts w:hint="eastAsia" w:ascii="宋体" w:hAnsi="宋体" w:cs="宋体"/>
                            <w:color w:val="auto"/>
                            <w:kern w:val="0"/>
                            <w:sz w:val="21"/>
                            <w:szCs w:val="21"/>
                            <w:highlight w:val="none"/>
                            <w:lang w:val="en-US" w:eastAsia="zh-CN"/>
                          </w:rPr>
                          <w:t>3840</w:t>
                        </w:r>
                        <w:r>
                          <w:rPr>
                            <w:rFonts w:hint="eastAsia" w:ascii="宋体" w:hAnsi="宋体" w:cs="宋体"/>
                            <w:color w:val="auto"/>
                            <w:kern w:val="0"/>
                            <w:sz w:val="21"/>
                            <w:szCs w:val="21"/>
                            <w:highlight w:val="none"/>
                          </w:rPr>
                          <w:t>x</w:t>
                        </w:r>
                        <w:r>
                          <w:rPr>
                            <w:rFonts w:hint="eastAsia" w:ascii="宋体" w:hAnsi="宋体" w:cs="宋体"/>
                            <w:color w:val="auto"/>
                            <w:kern w:val="0"/>
                            <w:sz w:val="21"/>
                            <w:szCs w:val="21"/>
                            <w:highlight w:val="none"/>
                            <w:lang w:val="en-US" w:eastAsia="zh-CN"/>
                          </w:rPr>
                          <w:t>216</w:t>
                        </w:r>
                        <w:r>
                          <w:rPr>
                            <w:rFonts w:hint="eastAsia" w:ascii="宋体" w:hAnsi="宋体" w:cs="宋体"/>
                            <w:color w:val="auto"/>
                            <w:kern w:val="0"/>
                            <w:sz w:val="21"/>
                            <w:szCs w:val="21"/>
                            <w:highlight w:val="none"/>
                          </w:rPr>
                          <w:t>0，刷新率</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60HZ</w:t>
                        </w:r>
                      </w:p>
                    </w:tc>
                  </w:tr>
                  <w:tr w14:paraId="7CFBD511">
                    <w:tblPrEx>
                      <w:tblCellMar>
                        <w:top w:w="0" w:type="dxa"/>
                        <w:left w:w="108" w:type="dxa"/>
                        <w:bottom w:w="0" w:type="dxa"/>
                        <w:right w:w="108" w:type="dxa"/>
                      </w:tblCellMar>
                    </w:tblPrEx>
                    <w:trPr>
                      <w:trHeight w:val="56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59B2EC5B">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767" w:type="dxa"/>
                        <w:tcBorders>
                          <w:top w:val="nil"/>
                          <w:left w:val="nil"/>
                          <w:bottom w:val="single" w:color="auto" w:sz="4" w:space="0"/>
                          <w:right w:val="single" w:color="auto" w:sz="4" w:space="0"/>
                        </w:tcBorders>
                        <w:shd w:val="clear" w:color="auto" w:fill="auto"/>
                        <w:vAlign w:val="center"/>
                      </w:tcPr>
                      <w:p w14:paraId="40223FF1">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显卡：</w:t>
                        </w:r>
                        <w:r>
                          <w:rPr>
                            <w:rFonts w:hint="eastAsia" w:ascii="宋体" w:hAnsi="宋体" w:cs="宋体"/>
                            <w:color w:val="auto"/>
                            <w:kern w:val="0"/>
                            <w:sz w:val="21"/>
                            <w:szCs w:val="21"/>
                            <w:highlight w:val="none"/>
                            <w:lang w:val="en-US" w:eastAsia="zh-CN"/>
                          </w:rPr>
                          <w:t>RTX 3050 6G独立</w:t>
                        </w:r>
                        <w:r>
                          <w:rPr>
                            <w:rFonts w:hint="eastAsia" w:ascii="宋体" w:hAnsi="宋体" w:cs="宋体"/>
                            <w:color w:val="auto"/>
                            <w:kern w:val="0"/>
                            <w:sz w:val="21"/>
                            <w:szCs w:val="21"/>
                            <w:highlight w:val="none"/>
                          </w:rPr>
                          <w:t>显</w:t>
                        </w:r>
                        <w:r>
                          <w:rPr>
                            <w:rFonts w:hint="eastAsia" w:ascii="宋体" w:hAnsi="宋体" w:cs="宋体"/>
                            <w:color w:val="auto"/>
                            <w:kern w:val="0"/>
                            <w:sz w:val="21"/>
                            <w:szCs w:val="21"/>
                            <w:highlight w:val="none"/>
                            <w:lang w:val="en-US" w:eastAsia="zh-CN"/>
                          </w:rPr>
                          <w:t>卡</w:t>
                        </w:r>
                        <w:r>
                          <w:rPr>
                            <w:rFonts w:hint="eastAsia" w:ascii="宋体" w:hAnsi="宋体" w:cs="宋体"/>
                            <w:color w:val="auto"/>
                            <w:kern w:val="0"/>
                            <w:sz w:val="21"/>
                            <w:szCs w:val="21"/>
                            <w:highlight w:val="none"/>
                          </w:rPr>
                          <w:t>；光驱/键鼠：默认不带光驱，含USB有线键鼠</w:t>
                        </w:r>
                      </w:p>
                    </w:tc>
                  </w:tr>
                  <w:tr w14:paraId="4FFB4107">
                    <w:tblPrEx>
                      <w:tblCellMar>
                        <w:top w:w="0" w:type="dxa"/>
                        <w:left w:w="108" w:type="dxa"/>
                        <w:bottom w:w="0" w:type="dxa"/>
                        <w:right w:w="108" w:type="dxa"/>
                      </w:tblCellMar>
                    </w:tblPrEx>
                    <w:trPr>
                      <w:trHeight w:val="28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6429E92E">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6767" w:type="dxa"/>
                        <w:tcBorders>
                          <w:top w:val="nil"/>
                          <w:left w:val="nil"/>
                          <w:bottom w:val="single" w:color="auto" w:sz="4" w:space="0"/>
                          <w:right w:val="single" w:color="auto" w:sz="4" w:space="0"/>
                        </w:tcBorders>
                        <w:shd w:val="clear" w:color="auto" w:fill="auto"/>
                        <w:vAlign w:val="center"/>
                      </w:tcPr>
                      <w:p w14:paraId="36E37B3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操作系统：含操作系统及授权</w:t>
                        </w:r>
                      </w:p>
                    </w:tc>
                  </w:tr>
                  <w:tr w14:paraId="0BB0286B">
                    <w:tblPrEx>
                      <w:tblCellMar>
                        <w:top w:w="0" w:type="dxa"/>
                        <w:left w:w="108" w:type="dxa"/>
                        <w:bottom w:w="0" w:type="dxa"/>
                        <w:right w:w="108" w:type="dxa"/>
                      </w:tblCellMar>
                    </w:tblPrEx>
                    <w:trPr>
                      <w:trHeight w:val="840"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74FA850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767" w:type="dxa"/>
                        <w:tcBorders>
                          <w:top w:val="nil"/>
                          <w:left w:val="nil"/>
                          <w:bottom w:val="single" w:color="auto" w:sz="4" w:space="0"/>
                          <w:right w:val="single" w:color="auto" w:sz="4" w:space="0"/>
                        </w:tcBorders>
                        <w:shd w:val="clear" w:color="auto" w:fill="auto"/>
                        <w:vAlign w:val="center"/>
                      </w:tcPr>
                      <w:p w14:paraId="49CE556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支持硬盘拆卸安装，支持存储硬盘与主机同一品牌，主机与播放器同一品牌；</w:t>
                        </w:r>
                      </w:p>
                    </w:tc>
                  </w:tr>
                  <w:tr w14:paraId="09294EAE">
                    <w:tblPrEx>
                      <w:tblCellMar>
                        <w:top w:w="0" w:type="dxa"/>
                        <w:left w:w="108" w:type="dxa"/>
                        <w:bottom w:w="0" w:type="dxa"/>
                        <w:right w:w="108" w:type="dxa"/>
                      </w:tblCellMar>
                    </w:tblPrEx>
                    <w:trPr>
                      <w:trHeight w:val="769"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000B40FB">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6767" w:type="dxa"/>
                        <w:tcBorders>
                          <w:top w:val="nil"/>
                          <w:left w:val="nil"/>
                          <w:bottom w:val="single" w:color="auto" w:sz="4" w:space="0"/>
                          <w:right w:val="single" w:color="auto" w:sz="4" w:space="0"/>
                        </w:tcBorders>
                        <w:shd w:val="clear" w:color="auto" w:fill="auto"/>
                        <w:vAlign w:val="center"/>
                      </w:tcPr>
                      <w:p w14:paraId="4AC881D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可支持硬盘数据及时还原，还原到指定还原点;支持硬盘断电保护;支持双网口绑定、双网口使用。</w:t>
                        </w:r>
                      </w:p>
                    </w:tc>
                  </w:tr>
                  <w:tr w14:paraId="678F1CB5">
                    <w:tblPrEx>
                      <w:tblCellMar>
                        <w:top w:w="0" w:type="dxa"/>
                        <w:left w:w="108" w:type="dxa"/>
                        <w:bottom w:w="0" w:type="dxa"/>
                        <w:right w:w="108" w:type="dxa"/>
                      </w:tblCellMar>
                    </w:tblPrEx>
                    <w:trPr>
                      <w:trHeight w:val="1279"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10BC0DDB">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6767" w:type="dxa"/>
                        <w:tcBorders>
                          <w:top w:val="nil"/>
                          <w:left w:val="nil"/>
                          <w:bottom w:val="single" w:color="auto" w:sz="4" w:space="0"/>
                          <w:right w:val="single" w:color="auto" w:sz="4" w:space="0"/>
                        </w:tcBorders>
                        <w:shd w:val="clear" w:color="auto" w:fill="auto"/>
                        <w:vAlign w:val="center"/>
                      </w:tcPr>
                      <w:p w14:paraId="196C3738">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应用软件向导式启动，支持更新升级;支持应用软件打开即全屏显示;支持双系统同时开机同时使用;支持对操作系统进行镜像备份和恢复;使用视图播放器对文件进行播放；（需提供公安部检测机构出具的检测报告复印件证明，添加注明招标项目名称的水印，并加盖制造商投标专用章或公章）</w:t>
                        </w:r>
                      </w:p>
                    </w:tc>
                  </w:tr>
                  <w:tr w14:paraId="311C048B">
                    <w:tblPrEx>
                      <w:tblCellMar>
                        <w:top w:w="0" w:type="dxa"/>
                        <w:left w:w="108" w:type="dxa"/>
                        <w:bottom w:w="0" w:type="dxa"/>
                        <w:right w:w="108" w:type="dxa"/>
                      </w:tblCellMar>
                    </w:tblPrEx>
                    <w:trPr>
                      <w:trHeight w:val="1411" w:hRule="atLeast"/>
                    </w:trPr>
                    <w:tc>
                      <w:tcPr>
                        <w:tcW w:w="587" w:type="dxa"/>
                        <w:tcBorders>
                          <w:top w:val="nil"/>
                          <w:left w:val="single" w:color="auto" w:sz="4" w:space="0"/>
                          <w:bottom w:val="single" w:color="auto" w:sz="4" w:space="0"/>
                          <w:right w:val="single" w:color="auto" w:sz="4" w:space="0"/>
                        </w:tcBorders>
                        <w:shd w:val="clear" w:color="auto" w:fill="auto"/>
                        <w:vAlign w:val="center"/>
                      </w:tcPr>
                      <w:p w14:paraId="784D42E3">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6767" w:type="dxa"/>
                        <w:tcBorders>
                          <w:top w:val="nil"/>
                          <w:left w:val="nil"/>
                          <w:bottom w:val="single" w:color="auto" w:sz="4" w:space="0"/>
                          <w:right w:val="single" w:color="auto" w:sz="4" w:space="0"/>
                        </w:tcBorders>
                        <w:shd w:val="clear" w:color="auto" w:fill="auto"/>
                        <w:vAlign w:val="center"/>
                      </w:tcPr>
                      <w:p w14:paraId="470BF75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倍速播放：支持多窗口播放，可进行不少于16个窗口同时1或2倍速播放，不少于9个窗口同时4倍速播放，不少于4个窗口同时8倍速或16倍速播放；（需提供公安部检测机构出具的检测报告复印件证明，添加注明招标项目名称的水印，并加盖制造商投标专用章或公章）</w:t>
                        </w:r>
                      </w:p>
                    </w:tc>
                  </w:tr>
                  <w:tr w14:paraId="212FE359">
                    <w:tblPrEx>
                      <w:tblCellMar>
                        <w:top w:w="0" w:type="dxa"/>
                        <w:left w:w="108" w:type="dxa"/>
                        <w:bottom w:w="0" w:type="dxa"/>
                        <w:right w:w="108" w:type="dxa"/>
                      </w:tblCellMar>
                    </w:tblPrEx>
                    <w:trPr>
                      <w:trHeight w:val="1545" w:hRule="atLeast"/>
                    </w:trPr>
                    <w:tc>
                      <w:tcPr>
                        <w:tcW w:w="587" w:type="dxa"/>
                        <w:tcBorders>
                          <w:top w:val="nil"/>
                          <w:left w:val="single" w:color="auto" w:sz="4" w:space="0"/>
                          <w:bottom w:val="single" w:color="auto" w:sz="4" w:space="0"/>
                          <w:right w:val="single" w:color="auto" w:sz="4" w:space="0"/>
                        </w:tcBorders>
                        <w:shd w:val="clear" w:color="auto" w:fill="auto"/>
                        <w:vAlign w:val="center"/>
                      </w:tcPr>
                      <w:p w14:paraId="1AE716B9">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6767" w:type="dxa"/>
                        <w:tcBorders>
                          <w:top w:val="nil"/>
                          <w:left w:val="nil"/>
                          <w:bottom w:val="single" w:color="auto" w:sz="4" w:space="0"/>
                          <w:right w:val="single" w:color="auto" w:sz="4" w:space="0"/>
                        </w:tcBorders>
                        <w:shd w:val="clear" w:color="auto" w:fill="auto"/>
                        <w:vAlign w:val="center"/>
                      </w:tcPr>
                      <w:p w14:paraId="2E5F82F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屏播放：系统需支持播放GA/T1154.2-2014中4.4.2.1规定的70种视频格式文件功能，至少支持全屏、单屏、2分屏、4分屏、9分屏、16分屏播放；（需提供公安部检测机构出具的检测报告复印件证明，添加注明招标项目名称的水印，并加盖制造商投标专用章或公章）</w:t>
                        </w:r>
                      </w:p>
                    </w:tc>
                  </w:tr>
                </w:tbl>
                <w:p w14:paraId="031910CF">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p>
              </w:tc>
            </w:tr>
            <w:tr w14:paraId="62CB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vAlign w:val="center"/>
                </w:tcPr>
                <w:p w14:paraId="6D9DD8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矩阵切换器</w:t>
                  </w:r>
                </w:p>
              </w:tc>
              <w:tc>
                <w:tcPr>
                  <w:tcW w:w="7586" w:type="dxa"/>
                  <w:vAlign w:val="center"/>
                </w:tcPr>
                <w:p w14:paraId="0F4AA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eastAsia="宋体"/>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、矩阵切换器 名称：4进4出 矩阵切换器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、满足项目技术要求</w:t>
                  </w:r>
                </w:p>
              </w:tc>
            </w:tr>
            <w:tr w14:paraId="2A1B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shd w:val="clear" w:color="auto" w:fill="FFFFFF"/>
                  <w:vAlign w:val="center"/>
                </w:tcPr>
                <w:p w14:paraId="436BD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电箱</w:t>
                  </w:r>
                </w:p>
              </w:tc>
              <w:tc>
                <w:tcPr>
                  <w:tcW w:w="7586" w:type="dxa"/>
                  <w:shd w:val="clear" w:color="auto" w:fill="FFFFFF"/>
                  <w:vAlign w:val="center"/>
                </w:tcPr>
                <w:p w14:paraId="0BBE9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olor w:val="auto"/>
                      <w:sz w:val="21"/>
                      <w:szCs w:val="21"/>
                      <w:highlight w:val="none"/>
                      <w:lang w:val="en-US" w:eastAsia="zh-CN"/>
                    </w:rPr>
                    <w:t>不锈钢304材质喷涂公安标识及箱体编号，尺寸（含防雨帽 450宽＊600高＊350深mm（长宽高±50mm)（中型隔板）</w:t>
                  </w:r>
                </w:p>
              </w:tc>
            </w:tr>
          </w:tbl>
          <w:p w14:paraId="027AB48E">
            <w:pPr>
              <w:pStyle w:val="11"/>
              <w:jc w:val="both"/>
              <w:rPr>
                <w:rFonts w:hint="default" w:eastAsia="宋体"/>
                <w:color w:val="auto"/>
                <w:highlight w:val="none"/>
                <w:lang w:val="en-US" w:eastAsia="zh-CN"/>
              </w:rPr>
            </w:pPr>
          </w:p>
        </w:tc>
      </w:tr>
      <w:tr w14:paraId="0B15B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56" w:hRule="atLeast"/>
        </w:trPr>
        <w:tc>
          <w:tcPr>
            <w:tcW w:w="758" w:type="dxa"/>
          </w:tcPr>
          <w:p w14:paraId="00669B8C">
            <w:pPr>
              <w:rPr>
                <w:color w:val="auto"/>
                <w:highlight w:val="none"/>
              </w:rPr>
            </w:pPr>
          </w:p>
        </w:tc>
        <w:tc>
          <w:tcPr>
            <w:tcW w:w="417" w:type="dxa"/>
          </w:tcPr>
          <w:p w14:paraId="340167AD">
            <w:pPr>
              <w:pStyle w:val="11"/>
              <w:jc w:val="center"/>
              <w:rPr>
                <w:rFonts w:hint="default" w:eastAsia="宋体"/>
                <w:color w:val="auto"/>
                <w:highlight w:val="none"/>
                <w:lang w:val="en-US" w:eastAsia="zh-CN"/>
              </w:rPr>
            </w:pPr>
            <w:r>
              <w:rPr>
                <w:rFonts w:hint="eastAsia"/>
                <w:color w:val="auto"/>
                <w:highlight w:val="none"/>
                <w:lang w:val="en-US" w:eastAsia="zh-CN"/>
              </w:rPr>
              <w:t>3</w:t>
            </w:r>
          </w:p>
        </w:tc>
        <w:tc>
          <w:tcPr>
            <w:tcW w:w="8447" w:type="dxa"/>
          </w:tcPr>
          <w:p w14:paraId="18C2B501">
            <w:pPr>
              <w:pStyle w:val="11"/>
              <w:numPr>
                <w:ilvl w:val="0"/>
                <w:numId w:val="0"/>
              </w:numPr>
              <w:jc w:val="both"/>
              <w:rPr>
                <w:rFonts w:hint="eastAsia"/>
                <w:b/>
                <w:bCs/>
                <w:color w:val="auto"/>
                <w:highlight w:val="none"/>
                <w:lang w:eastAsia="zh-CN"/>
              </w:rPr>
            </w:pPr>
            <w:r>
              <w:rPr>
                <w:rFonts w:hint="eastAsia"/>
                <w:b/>
                <w:bCs/>
                <w:color w:val="auto"/>
                <w:highlight w:val="none"/>
                <w:lang w:eastAsia="zh-CN"/>
              </w:rPr>
              <w:t>三、设备维护内容</w:t>
            </w:r>
          </w:p>
          <w:tbl>
            <w:tblPr>
              <w:tblStyle w:val="9"/>
              <w:tblW w:w="7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27"/>
              <w:gridCol w:w="3246"/>
              <w:gridCol w:w="654"/>
              <w:gridCol w:w="1109"/>
            </w:tblGrid>
            <w:tr w14:paraId="67A7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24057C6">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序号</w:t>
                  </w:r>
                </w:p>
              </w:tc>
              <w:tc>
                <w:tcPr>
                  <w:tcW w:w="1527" w:type="dxa"/>
                  <w:vAlign w:val="center"/>
                </w:tcPr>
                <w:p w14:paraId="54D17BF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项目名称</w:t>
                  </w:r>
                </w:p>
              </w:tc>
              <w:tc>
                <w:tcPr>
                  <w:tcW w:w="3246" w:type="dxa"/>
                  <w:vAlign w:val="center"/>
                </w:tcPr>
                <w:p w14:paraId="256DE0F6">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lang w:val="en-US" w:eastAsia="zh-CN"/>
                    </w:rPr>
                    <w:t>详细参数</w:t>
                  </w:r>
                </w:p>
              </w:tc>
              <w:tc>
                <w:tcPr>
                  <w:tcW w:w="654" w:type="dxa"/>
                  <w:vAlign w:val="center"/>
                </w:tcPr>
                <w:p w14:paraId="3FCEB50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计量</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单位</w:t>
                  </w:r>
                </w:p>
              </w:tc>
              <w:tc>
                <w:tcPr>
                  <w:tcW w:w="1109" w:type="dxa"/>
                  <w:vAlign w:val="center"/>
                </w:tcPr>
                <w:p w14:paraId="4D9B702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工程数量</w:t>
                  </w:r>
                </w:p>
              </w:tc>
            </w:tr>
            <w:tr w14:paraId="398B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B8486C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527" w:type="dxa"/>
                  <w:vAlign w:val="center"/>
                </w:tcPr>
                <w:p w14:paraId="11F403C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日常巡检</w:t>
                  </w:r>
                </w:p>
              </w:tc>
              <w:tc>
                <w:tcPr>
                  <w:tcW w:w="3246" w:type="dxa"/>
                  <w:vAlign w:val="center"/>
                </w:tcPr>
                <w:p w14:paraId="037207E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1、两天巡检一次，一台车配两个人，</w:t>
                  </w:r>
                  <w:r>
                    <w:rPr>
                      <w:rFonts w:hint="eastAsia" w:ascii="宋体" w:hAnsi="宋体" w:cs="宋体"/>
                      <w:i w:val="0"/>
                      <w:iCs w:val="0"/>
                      <w:color w:val="auto"/>
                      <w:kern w:val="0"/>
                      <w:sz w:val="20"/>
                      <w:szCs w:val="20"/>
                      <w:highlight w:val="none"/>
                      <w:u w:val="none"/>
                      <w:lang w:val="en-US" w:eastAsia="zh-CN" w:bidi="ar"/>
                    </w:rPr>
                    <w:t>合同期内不少于</w:t>
                  </w:r>
                  <w:r>
                    <w:rPr>
                      <w:rFonts w:hint="eastAsia" w:ascii="宋体" w:hAnsi="宋体" w:eastAsia="宋体" w:cs="宋体"/>
                      <w:i w:val="0"/>
                      <w:iCs w:val="0"/>
                      <w:color w:val="auto"/>
                      <w:kern w:val="0"/>
                      <w:sz w:val="20"/>
                      <w:szCs w:val="20"/>
                      <w:highlight w:val="none"/>
                      <w:u w:val="none"/>
                      <w:lang w:val="en-US" w:eastAsia="zh-CN" w:bidi="ar"/>
                    </w:rPr>
                    <w:t xml:space="preserve">365次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416D481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次</w:t>
                  </w:r>
                </w:p>
              </w:tc>
              <w:tc>
                <w:tcPr>
                  <w:tcW w:w="1109" w:type="dxa"/>
                  <w:vAlign w:val="center"/>
                </w:tcPr>
                <w:p w14:paraId="44C7BFD9">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365.000</w:t>
                  </w:r>
                </w:p>
              </w:tc>
            </w:tr>
            <w:tr w14:paraId="455C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5A8A08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527" w:type="dxa"/>
                  <w:vAlign w:val="center"/>
                </w:tcPr>
                <w:p w14:paraId="31AF457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上门服务费</w:t>
                  </w:r>
                </w:p>
              </w:tc>
              <w:tc>
                <w:tcPr>
                  <w:tcW w:w="3246" w:type="dxa"/>
                  <w:vAlign w:val="center"/>
                </w:tcPr>
                <w:p w14:paraId="31A4ABC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w:t>
                  </w:r>
                  <w:bookmarkStart w:id="0" w:name="_GoBack"/>
                  <w:bookmarkEnd w:id="0"/>
                  <w:r>
                    <w:rPr>
                      <w:rFonts w:hint="eastAsia" w:ascii="宋体" w:hAnsi="宋体" w:eastAsia="宋体" w:cs="宋体"/>
                      <w:i w:val="0"/>
                      <w:iCs w:val="0"/>
                      <w:color w:val="auto"/>
                      <w:kern w:val="0"/>
                      <w:sz w:val="20"/>
                      <w:szCs w:val="20"/>
                      <w:highlight w:val="none"/>
                      <w:u w:val="none"/>
                      <w:lang w:val="en-US" w:eastAsia="zh-CN" w:bidi="ar"/>
                    </w:rPr>
                    <w:t>、一周上门服务1次计算，</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6BE794D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1109" w:type="dxa"/>
                  <w:vAlign w:val="center"/>
                </w:tcPr>
                <w:p w14:paraId="3069A6CE">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104.000</w:t>
                  </w:r>
                </w:p>
              </w:tc>
            </w:tr>
            <w:tr w14:paraId="3679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30D8C5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527" w:type="dxa"/>
                  <w:vAlign w:val="center"/>
                </w:tcPr>
                <w:p w14:paraId="365D075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球机/枪机检修</w:t>
                  </w:r>
                </w:p>
              </w:tc>
              <w:tc>
                <w:tcPr>
                  <w:tcW w:w="3246" w:type="dxa"/>
                  <w:vAlign w:val="center"/>
                </w:tcPr>
                <w:p w14:paraId="0CB6E69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1、前端视频监控球型机检测及修复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2DEC252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109" w:type="dxa"/>
                  <w:vAlign w:val="center"/>
                </w:tcPr>
                <w:p w14:paraId="34220764">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120.000</w:t>
                  </w:r>
                </w:p>
              </w:tc>
            </w:tr>
            <w:tr w14:paraId="1B31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737DFD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527" w:type="dxa"/>
                  <w:vAlign w:val="center"/>
                </w:tcPr>
                <w:p w14:paraId="48F30E3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智能箱检修</w:t>
                  </w:r>
                </w:p>
              </w:tc>
              <w:tc>
                <w:tcPr>
                  <w:tcW w:w="3246" w:type="dxa"/>
                  <w:vAlign w:val="center"/>
                </w:tcPr>
                <w:p w14:paraId="5B5B0E4C">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1、智能箱体设备检查测试及修复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7BC12596">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109" w:type="dxa"/>
                  <w:vAlign w:val="center"/>
                </w:tcPr>
                <w:p w14:paraId="6E5EFBFE">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120.000</w:t>
                  </w:r>
                </w:p>
              </w:tc>
            </w:tr>
            <w:tr w14:paraId="4E0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549C98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527" w:type="dxa"/>
                  <w:vAlign w:val="center"/>
                </w:tcPr>
                <w:p w14:paraId="605975C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光纤收发器检修</w:t>
                  </w:r>
                </w:p>
              </w:tc>
              <w:tc>
                <w:tcPr>
                  <w:tcW w:w="3246" w:type="dxa"/>
                  <w:vAlign w:val="center"/>
                </w:tcPr>
                <w:p w14:paraId="79BDC58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1、前端光纤收发器设备检测及修复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23C5650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109" w:type="dxa"/>
                  <w:vAlign w:val="center"/>
                </w:tcPr>
                <w:p w14:paraId="15DBD56C">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120.000</w:t>
                  </w:r>
                </w:p>
              </w:tc>
            </w:tr>
            <w:tr w14:paraId="15B1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1FCC1F0">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527" w:type="dxa"/>
                  <w:vAlign w:val="center"/>
                </w:tcPr>
                <w:p w14:paraId="2DD8B56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电源检修</w:t>
                  </w:r>
                </w:p>
              </w:tc>
              <w:tc>
                <w:tcPr>
                  <w:tcW w:w="3246" w:type="dxa"/>
                  <w:vAlign w:val="center"/>
                </w:tcPr>
                <w:p w14:paraId="479CFE2B">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1、设备电源、供电电源的检查及修复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78F3E8E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109" w:type="dxa"/>
                  <w:vAlign w:val="center"/>
                </w:tcPr>
                <w:p w14:paraId="3A54851E">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120.000</w:t>
                  </w:r>
                </w:p>
              </w:tc>
            </w:tr>
            <w:tr w14:paraId="5FA0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63" w:type="dxa"/>
                  <w:shd w:val="clear" w:color="auto" w:fill="auto"/>
                  <w:vAlign w:val="center"/>
                </w:tcPr>
                <w:p w14:paraId="5507FF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w:t>
                  </w:r>
                </w:p>
              </w:tc>
              <w:tc>
                <w:tcPr>
                  <w:tcW w:w="1527" w:type="dxa"/>
                  <w:shd w:val="clear" w:color="auto" w:fill="auto"/>
                  <w:vAlign w:val="center"/>
                </w:tcPr>
                <w:p w14:paraId="43DB8D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监控及相关线路管道改造</w:t>
                  </w:r>
                </w:p>
              </w:tc>
              <w:tc>
                <w:tcPr>
                  <w:tcW w:w="3246" w:type="dxa"/>
                  <w:shd w:val="clear" w:color="auto" w:fill="auto"/>
                  <w:vAlign w:val="center"/>
                </w:tcPr>
                <w:p w14:paraId="741402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lang w:val="en-US" w:eastAsia="zh-CN"/>
                    </w:rPr>
                    <w:t>预计每个点位涉及150米左右长度的改造</w:t>
                  </w:r>
                </w:p>
              </w:tc>
              <w:tc>
                <w:tcPr>
                  <w:tcW w:w="654" w:type="dxa"/>
                  <w:shd w:val="clear" w:color="auto" w:fill="auto"/>
                  <w:vAlign w:val="center"/>
                </w:tcPr>
                <w:p w14:paraId="4C81DB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点位</w:t>
                  </w:r>
                </w:p>
              </w:tc>
              <w:tc>
                <w:tcPr>
                  <w:tcW w:w="1109" w:type="dxa"/>
                  <w:shd w:val="clear" w:color="auto" w:fill="auto"/>
                  <w:vAlign w:val="center"/>
                </w:tcPr>
                <w:p w14:paraId="1677B18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35</w:t>
                  </w:r>
                </w:p>
              </w:tc>
            </w:tr>
            <w:tr w14:paraId="7EC7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D4CD3C4">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7</w:t>
                  </w:r>
                  <w:r>
                    <w:rPr>
                      <w:rFonts w:hint="eastAsia" w:ascii="宋体" w:hAnsi="宋体" w:cs="宋体"/>
                      <w:i w:val="0"/>
                      <w:iCs w:val="0"/>
                      <w:color w:val="auto"/>
                      <w:kern w:val="0"/>
                      <w:sz w:val="20"/>
                      <w:szCs w:val="20"/>
                      <w:highlight w:val="none"/>
                      <w:u w:val="none"/>
                      <w:lang w:val="en-US" w:eastAsia="zh-CN" w:bidi="ar"/>
                    </w:rPr>
                    <w:t>.1</w:t>
                  </w:r>
                </w:p>
              </w:tc>
              <w:tc>
                <w:tcPr>
                  <w:tcW w:w="1527" w:type="dxa"/>
                  <w:vAlign w:val="center"/>
                </w:tcPr>
                <w:p w14:paraId="3D5485E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沙井维修 400*600</w:t>
                  </w:r>
                </w:p>
              </w:tc>
              <w:tc>
                <w:tcPr>
                  <w:tcW w:w="3246" w:type="dxa"/>
                  <w:vAlign w:val="center"/>
                </w:tcPr>
                <w:p w14:paraId="49034C8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1、沙井维修 400*600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54" w:type="dxa"/>
                  <w:vAlign w:val="center"/>
                </w:tcPr>
                <w:p w14:paraId="3694143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座</w:t>
                  </w:r>
                </w:p>
              </w:tc>
              <w:tc>
                <w:tcPr>
                  <w:tcW w:w="1109" w:type="dxa"/>
                  <w:vAlign w:val="center"/>
                </w:tcPr>
                <w:p w14:paraId="4CBC3972">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1批</w:t>
                  </w:r>
                </w:p>
              </w:tc>
            </w:tr>
            <w:tr w14:paraId="46A2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CB36731">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7.2</w:t>
                  </w:r>
                </w:p>
              </w:tc>
              <w:tc>
                <w:tcPr>
                  <w:tcW w:w="1527" w:type="dxa"/>
                  <w:vAlign w:val="center"/>
                </w:tcPr>
                <w:p w14:paraId="441CFDD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挖一般土方</w:t>
                  </w:r>
                </w:p>
              </w:tc>
              <w:tc>
                <w:tcPr>
                  <w:tcW w:w="3246" w:type="dxa"/>
                  <w:vAlign w:val="center"/>
                </w:tcPr>
                <w:p w14:paraId="3CFC926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1、人工挖一般土方 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2、挖掘机挖一般土方 一、二类土</w:t>
                  </w:r>
                </w:p>
              </w:tc>
              <w:tc>
                <w:tcPr>
                  <w:tcW w:w="654" w:type="dxa"/>
                  <w:vAlign w:val="center"/>
                </w:tcPr>
                <w:p w14:paraId="61AED29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m3</w:t>
                  </w:r>
                </w:p>
              </w:tc>
              <w:tc>
                <w:tcPr>
                  <w:tcW w:w="1109" w:type="dxa"/>
                  <w:vAlign w:val="center"/>
                </w:tcPr>
                <w:p w14:paraId="07A7E078">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1项</w:t>
                  </w:r>
                </w:p>
              </w:tc>
            </w:tr>
            <w:tr w14:paraId="5CBE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A906C2E">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7.3</w:t>
                  </w:r>
                </w:p>
              </w:tc>
              <w:tc>
                <w:tcPr>
                  <w:tcW w:w="1527" w:type="dxa"/>
                  <w:vAlign w:val="center"/>
                </w:tcPr>
                <w:p w14:paraId="76312DA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3246" w:type="dxa"/>
                  <w:vAlign w:val="center"/>
                </w:tcPr>
                <w:p w14:paraId="6522A6C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1、回填土 夯实机夯实 槽、坑</w:t>
                  </w:r>
                </w:p>
              </w:tc>
              <w:tc>
                <w:tcPr>
                  <w:tcW w:w="654" w:type="dxa"/>
                  <w:vAlign w:val="center"/>
                </w:tcPr>
                <w:p w14:paraId="18F5064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m3</w:t>
                  </w:r>
                </w:p>
              </w:tc>
              <w:tc>
                <w:tcPr>
                  <w:tcW w:w="1109" w:type="dxa"/>
                  <w:vAlign w:val="center"/>
                </w:tcPr>
                <w:p w14:paraId="67AB4B0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3897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43C2809">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7.4</w:t>
                  </w:r>
                </w:p>
              </w:tc>
              <w:tc>
                <w:tcPr>
                  <w:tcW w:w="1527" w:type="dxa"/>
                  <w:vAlign w:val="center"/>
                </w:tcPr>
                <w:p w14:paraId="1614ABE9">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拆除路面</w:t>
                  </w:r>
                </w:p>
              </w:tc>
              <w:tc>
                <w:tcPr>
                  <w:tcW w:w="3246" w:type="dxa"/>
                  <w:vAlign w:val="center"/>
                </w:tcPr>
                <w:p w14:paraId="643D6AE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1、小型机械拆除混凝土类路面层 无筋 厚15cm内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2、自卸汽车运石方 运距5km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3、挖掘机挖装松散石方</w:t>
                  </w:r>
                </w:p>
              </w:tc>
              <w:tc>
                <w:tcPr>
                  <w:tcW w:w="654" w:type="dxa"/>
                  <w:vAlign w:val="center"/>
                </w:tcPr>
                <w:p w14:paraId="2EE54981">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m2</w:t>
                  </w:r>
                </w:p>
              </w:tc>
              <w:tc>
                <w:tcPr>
                  <w:tcW w:w="1109" w:type="dxa"/>
                  <w:vAlign w:val="center"/>
                </w:tcPr>
                <w:p w14:paraId="71F2C78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2828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0B360EB">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7.5</w:t>
                  </w:r>
                </w:p>
              </w:tc>
              <w:tc>
                <w:tcPr>
                  <w:tcW w:w="1527" w:type="dxa"/>
                  <w:vAlign w:val="center"/>
                </w:tcPr>
                <w:p w14:paraId="1CE4306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水泥混凝土</w:t>
                  </w:r>
                </w:p>
              </w:tc>
              <w:tc>
                <w:tcPr>
                  <w:tcW w:w="3246" w:type="dxa"/>
                  <w:vAlign w:val="center"/>
                </w:tcPr>
                <w:p w14:paraId="1DA4D36E">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1、水泥混凝土路面 厚度 20cm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2、水泥混凝土路面养生 水养生</w:t>
                  </w:r>
                </w:p>
              </w:tc>
              <w:tc>
                <w:tcPr>
                  <w:tcW w:w="654" w:type="dxa"/>
                  <w:vAlign w:val="center"/>
                </w:tcPr>
                <w:p w14:paraId="726F019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m2</w:t>
                  </w:r>
                </w:p>
              </w:tc>
              <w:tc>
                <w:tcPr>
                  <w:tcW w:w="1109" w:type="dxa"/>
                  <w:vAlign w:val="center"/>
                </w:tcPr>
                <w:p w14:paraId="33ED1B7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1项</w:t>
                  </w:r>
                </w:p>
              </w:tc>
            </w:tr>
            <w:tr w14:paraId="2425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F389ED4">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7.6</w:t>
                  </w:r>
                </w:p>
              </w:tc>
              <w:tc>
                <w:tcPr>
                  <w:tcW w:w="1527" w:type="dxa"/>
                  <w:vAlign w:val="center"/>
                </w:tcPr>
                <w:p w14:paraId="610733A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水平导向钻进 φ110</w:t>
                  </w:r>
                </w:p>
              </w:tc>
              <w:tc>
                <w:tcPr>
                  <w:tcW w:w="3246" w:type="dxa"/>
                  <w:vAlign w:val="center"/>
                </w:tcPr>
                <w:p w14:paraId="6B60B91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1、钻导向孔 DN≤300mm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2、扩孔 DN200mm以内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3、塑料管安装(对接熔接) 管外径110mm以内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4、PE管 De110 1.0Mpa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5、PE塑料管件 De110</w:t>
                  </w:r>
                </w:p>
              </w:tc>
              <w:tc>
                <w:tcPr>
                  <w:tcW w:w="654" w:type="dxa"/>
                  <w:vAlign w:val="center"/>
                </w:tcPr>
                <w:p w14:paraId="74FEB8F2">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1109" w:type="dxa"/>
                  <w:vAlign w:val="center"/>
                </w:tcPr>
                <w:p w14:paraId="4A651E4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3DA4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B952FEF">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7.7</w:t>
                  </w:r>
                </w:p>
              </w:tc>
              <w:tc>
                <w:tcPr>
                  <w:tcW w:w="1527" w:type="dxa"/>
                  <w:vAlign w:val="center"/>
                </w:tcPr>
                <w:p w14:paraId="35E18A9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配管 PVC32</w:t>
                  </w:r>
                </w:p>
              </w:tc>
              <w:tc>
                <w:tcPr>
                  <w:tcW w:w="3246" w:type="dxa"/>
                  <w:vAlign w:val="center"/>
                </w:tcPr>
                <w:p w14:paraId="38EFB07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1、刚性难燃线管埋地敷设 公称直径（mm以内） 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2、刚性难燃管 PVC32</w:t>
                  </w:r>
                </w:p>
              </w:tc>
              <w:tc>
                <w:tcPr>
                  <w:tcW w:w="654" w:type="dxa"/>
                  <w:vAlign w:val="center"/>
                </w:tcPr>
                <w:p w14:paraId="0F9047C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1109" w:type="dxa"/>
                  <w:vAlign w:val="center"/>
                </w:tcPr>
                <w:p w14:paraId="70B9C454">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3870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50D315C">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7.8</w:t>
                  </w:r>
                </w:p>
              </w:tc>
              <w:tc>
                <w:tcPr>
                  <w:tcW w:w="1527" w:type="dxa"/>
                  <w:vAlign w:val="center"/>
                </w:tcPr>
                <w:p w14:paraId="117B1C9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配线 RVV-3*2.5</w:t>
                  </w:r>
                </w:p>
              </w:tc>
              <w:tc>
                <w:tcPr>
                  <w:tcW w:w="3246" w:type="dxa"/>
                  <w:vAlign w:val="center"/>
                </w:tcPr>
                <w:p w14:paraId="16586132">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1、多芯软导线管内穿线(芯以内) 四芯 导线截面(mm2以内) 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2、电缆线 RVV-3*2.5</w:t>
                  </w:r>
                </w:p>
              </w:tc>
              <w:tc>
                <w:tcPr>
                  <w:tcW w:w="654" w:type="dxa"/>
                  <w:vAlign w:val="center"/>
                </w:tcPr>
                <w:p w14:paraId="1BB34566">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1109" w:type="dxa"/>
                  <w:vAlign w:val="center"/>
                </w:tcPr>
                <w:p w14:paraId="65BA2C3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r w14:paraId="0FF8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0B12E1E">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7.9</w:t>
                  </w:r>
                </w:p>
              </w:tc>
              <w:tc>
                <w:tcPr>
                  <w:tcW w:w="1527" w:type="dxa"/>
                  <w:vAlign w:val="center"/>
                </w:tcPr>
                <w:p w14:paraId="42C5FB0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网线</w:t>
                  </w:r>
                </w:p>
              </w:tc>
              <w:tc>
                <w:tcPr>
                  <w:tcW w:w="3246" w:type="dxa"/>
                  <w:vAlign w:val="center"/>
                </w:tcPr>
                <w:p w14:paraId="28C04A2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1、敷设双绞线缆或电话线 管、暗槽内穿放(对以内) 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2、超五类非屏蔽双绞线</w:t>
                  </w:r>
                </w:p>
              </w:tc>
              <w:tc>
                <w:tcPr>
                  <w:tcW w:w="654" w:type="dxa"/>
                  <w:vAlign w:val="center"/>
                </w:tcPr>
                <w:p w14:paraId="56537312">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1109" w:type="dxa"/>
                  <w:vAlign w:val="center"/>
                </w:tcPr>
                <w:p w14:paraId="2CC6BCE6">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1批</w:t>
                  </w:r>
                </w:p>
              </w:tc>
            </w:tr>
          </w:tbl>
          <w:p w14:paraId="65A35580">
            <w:pPr>
              <w:pStyle w:val="11"/>
              <w:jc w:val="both"/>
              <w:rPr>
                <w:rFonts w:hint="default" w:eastAsia="宋体"/>
                <w:color w:val="auto"/>
                <w:highlight w:val="none"/>
                <w:lang w:val="en-US" w:eastAsia="zh-CN"/>
              </w:rPr>
            </w:pPr>
          </w:p>
        </w:tc>
      </w:tr>
      <w:tr w14:paraId="7B759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91" w:hRule="atLeast"/>
        </w:trPr>
        <w:tc>
          <w:tcPr>
            <w:tcW w:w="758" w:type="dxa"/>
          </w:tcPr>
          <w:p w14:paraId="6B4D2397">
            <w:pPr>
              <w:rPr>
                <w:color w:val="auto"/>
                <w:highlight w:val="none"/>
              </w:rPr>
            </w:pPr>
          </w:p>
        </w:tc>
        <w:tc>
          <w:tcPr>
            <w:tcW w:w="417" w:type="dxa"/>
          </w:tcPr>
          <w:p w14:paraId="090CCC4E">
            <w:pPr>
              <w:pStyle w:val="11"/>
              <w:jc w:val="center"/>
              <w:rPr>
                <w:rFonts w:hint="default" w:eastAsia="宋体"/>
                <w:color w:val="auto"/>
                <w:highlight w:val="none"/>
                <w:lang w:val="en-US" w:eastAsia="zh-CN"/>
              </w:rPr>
            </w:pPr>
            <w:r>
              <w:rPr>
                <w:rFonts w:hint="eastAsia"/>
                <w:color w:val="auto"/>
                <w:highlight w:val="none"/>
                <w:lang w:val="en-US" w:eastAsia="zh-CN"/>
              </w:rPr>
              <w:t>4</w:t>
            </w:r>
          </w:p>
        </w:tc>
        <w:tc>
          <w:tcPr>
            <w:tcW w:w="8447" w:type="dxa"/>
          </w:tcPr>
          <w:p w14:paraId="471251AA">
            <w:pPr>
              <w:pStyle w:val="11"/>
              <w:numPr>
                <w:ilvl w:val="0"/>
                <w:numId w:val="0"/>
              </w:numPr>
              <w:jc w:val="both"/>
              <w:rPr>
                <w:rFonts w:hint="eastAsia" w:eastAsia="宋体"/>
                <w:color w:val="auto"/>
                <w:highlight w:val="none"/>
                <w:lang w:eastAsia="zh-CN"/>
              </w:rPr>
            </w:pPr>
            <w:r>
              <w:rPr>
                <w:rFonts w:hint="eastAsia"/>
                <w:b/>
                <w:bCs/>
                <w:color w:val="auto"/>
                <w:highlight w:val="none"/>
                <w:lang w:eastAsia="zh-CN"/>
              </w:rPr>
              <w:t>四、</w:t>
            </w:r>
            <w:r>
              <w:rPr>
                <w:rFonts w:hint="eastAsia"/>
                <w:b/>
                <w:bCs/>
                <w:color w:val="auto"/>
                <w:highlight w:val="none"/>
              </w:rPr>
              <w:t>光纤线路租赁及数据存储</w:t>
            </w:r>
            <w:r>
              <w:rPr>
                <w:rFonts w:hint="eastAsia"/>
                <w:b/>
                <w:bCs/>
                <w:color w:val="auto"/>
                <w:highlight w:val="none"/>
                <w:lang w:eastAsia="zh-CN"/>
              </w:rPr>
              <w:t>清单</w:t>
            </w:r>
          </w:p>
          <w:tbl>
            <w:tblPr>
              <w:tblStyle w:val="8"/>
              <w:tblW w:w="811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707"/>
              <w:gridCol w:w="5244"/>
              <w:gridCol w:w="710"/>
              <w:gridCol w:w="972"/>
            </w:tblGrid>
            <w:tr w14:paraId="4366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2AB2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3F0C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0CA9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9C84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2F18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工程数量</w:t>
                  </w:r>
                </w:p>
              </w:tc>
            </w:tr>
            <w:tr w14:paraId="3BB1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3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A3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光纤链路</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BB4CD">
                  <w:pPr>
                    <w:keepNext w:val="0"/>
                    <w:keepLines w:val="0"/>
                    <w:widowControl/>
                    <w:numPr>
                      <w:ilvl w:val="0"/>
                      <w:numId w:val="18"/>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光纤链路费用:运营商点对点裸光纤链路租用，含故障修复。含前端设备电费</w:t>
                  </w:r>
                </w:p>
                <w:p w14:paraId="126FBB84">
                  <w:pPr>
                    <w:keepNext w:val="0"/>
                    <w:keepLines w:val="0"/>
                    <w:widowControl/>
                    <w:numPr>
                      <w:ilvl w:val="0"/>
                      <w:numId w:val="18"/>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872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BC0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120.000</w:t>
                  </w:r>
                </w:p>
              </w:tc>
            </w:tr>
            <w:tr w14:paraId="0E90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7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3C305">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ai解析</w:t>
                  </w:r>
                  <w:r>
                    <w:rPr>
                      <w:rFonts w:hint="eastAsia" w:ascii="宋体" w:hAnsi="宋体" w:cs="宋体"/>
                      <w:i w:val="0"/>
                      <w:iCs w:val="0"/>
                      <w:color w:val="auto"/>
                      <w:kern w:val="0"/>
                      <w:sz w:val="20"/>
                      <w:szCs w:val="20"/>
                      <w:highlight w:val="none"/>
                      <w:u w:val="none"/>
                      <w:lang w:val="en-US" w:eastAsia="zh-CN" w:bidi="ar"/>
                    </w:rPr>
                    <w:t>功能</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1D34">
                  <w:pPr>
                    <w:keepNext w:val="0"/>
                    <w:keepLines w:val="0"/>
                    <w:widowControl/>
                    <w:numPr>
                      <w:ilvl w:val="0"/>
                      <w:numId w:val="0"/>
                    </w:numPr>
                    <w:suppressLineNumbers w:val="0"/>
                    <w:jc w:val="left"/>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rPr>
                    <w:t>合同期内，中标人须提供以下服务内容：</w:t>
                  </w:r>
                </w:p>
                <w:p w14:paraId="561A7C5D">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 核心功能模块</w:t>
                  </w:r>
                </w:p>
                <w:p w14:paraId="7459CFAC">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人车管控中心：实时感知、轨迹还原、智能检索（人像库检索、抓拍库检索）、告警事件管理、数据中心可视化。</w:t>
                  </w:r>
                </w:p>
                <w:p w14:paraId="440E37BE">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AI推理平台：算法仓管理（检测模型纳管、跨芯片部署）、算法调度（相机配置、离线视频分析、告警设置）、数据研判（历史事件、事件统计、客流统计）。</w:t>
                  </w:r>
                </w:p>
                <w:p w14:paraId="1AF551C0">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全域研判：属性检索（行人/骑行/车辆多标签检索）、以图搜图（以脸搜脸、以车搜车、REID搜图、多图搜图）、收敛研判（时空轨迹刻画、目标归档）。</w:t>
                  </w:r>
                </w:p>
                <w:p w14:paraId="11381A4E">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综合布控：人脸布控（黑名单/白名单布控、即时布控）、车辆布控（车牌缺损布控、即时布控）、布控告警管理。</w:t>
                  </w:r>
                </w:p>
                <w:p w14:paraId="001A55E4">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系统管理：用户权限管理、日志审计、机构/部门/区域分级管理。</w:t>
                  </w:r>
                </w:p>
                <w:p w14:paraId="05E4E879">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 算法需求</w:t>
                  </w:r>
                </w:p>
                <w:p w14:paraId="0F6E72CB">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基础算法：持械检测、打架斗殴检测、奔跑追逐检测、重点监控人群布控告警、火焰检测、管控区域车辆闯入检测、聚集人群突变检测、路面积水检测、人员电扶梯逆行检测、客流分析</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客流</w:t>
                  </w:r>
                  <w:r>
                    <w:rPr>
                      <w:rFonts w:hint="eastAsia" w:asciiTheme="majorEastAsia" w:hAnsiTheme="majorEastAsia" w:eastAsiaTheme="majorEastAsia" w:cstheme="majorEastAsia"/>
                      <w:color w:val="auto"/>
                      <w:sz w:val="21"/>
                      <w:szCs w:val="21"/>
                      <w:highlight w:val="none"/>
                    </w:rPr>
                    <w:t>突变告警。</w:t>
                  </w:r>
                </w:p>
                <w:p w14:paraId="69A50D91">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智能分析算法：人脸人体关联、人脸机动车关联、人脸非机动车关联、时空互斥校验、跨目标域检索（REID）。</w:t>
                  </w:r>
                </w:p>
                <w:p w14:paraId="4AF0CAEB">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大模型编排能力：支持语言编排生成新场景算法（人员行为、物品识别、场景识别），支持算法微调与部署。</w:t>
                  </w:r>
                </w:p>
                <w:p w14:paraId="0B1F37B1">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 性能要求</w:t>
                  </w:r>
                </w:p>
                <w:p w14:paraId="3C83D292">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支持与现有公安视频专网、社会资源平台无缝对接（GB/T 28181、GA/T 1400协议）。</w:t>
                  </w:r>
                </w:p>
                <w:p w14:paraId="34B62BEA">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支持1000路图片流并发识别</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支持离线视频分析</w:t>
                  </w:r>
                  <w:r>
                    <w:rPr>
                      <w:rFonts w:hint="eastAsia" w:asciiTheme="majorEastAsia" w:hAnsiTheme="majorEastAsia" w:eastAsiaTheme="majorEastAsia" w:cstheme="majorEastAsia"/>
                      <w:color w:val="auto"/>
                      <w:sz w:val="21"/>
                      <w:szCs w:val="21"/>
                      <w:highlight w:val="none"/>
                      <w:lang w:eastAsia="zh-CN"/>
                    </w:rPr>
                    <w:t>。</w:t>
                  </w:r>
                </w:p>
                <w:p w14:paraId="0CA90A8B">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算法仓支持多芯片适配（</w:t>
                  </w:r>
                  <w:r>
                    <w:rPr>
                      <w:rFonts w:hint="eastAsia" w:asciiTheme="majorEastAsia" w:hAnsiTheme="majorEastAsia" w:eastAsiaTheme="majorEastAsia" w:cstheme="majorEastAsia"/>
                      <w:color w:val="auto"/>
                      <w:sz w:val="21"/>
                      <w:szCs w:val="21"/>
                      <w:highlight w:val="none"/>
                      <w:lang w:val="en-US" w:eastAsia="zh-CN"/>
                    </w:rPr>
                    <w:t>国产加速卡、国产SC5+算力卡</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支持</w:t>
                  </w:r>
                  <w:r>
                    <w:rPr>
                      <w:rFonts w:hint="eastAsia" w:asciiTheme="majorEastAsia" w:hAnsiTheme="majorEastAsia" w:eastAsiaTheme="majorEastAsia" w:cstheme="majorEastAsia"/>
                      <w:color w:val="auto"/>
                      <w:sz w:val="21"/>
                      <w:szCs w:val="21"/>
                      <w:highlight w:val="none"/>
                    </w:rPr>
                    <w:t>动态调度GPU算力资源。</w:t>
                  </w:r>
                </w:p>
                <w:p w14:paraId="4A389784">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分析单元采用</w:t>
                  </w:r>
                  <w:r>
                    <w:rPr>
                      <w:rFonts w:hint="eastAsia" w:asciiTheme="majorEastAsia" w:hAnsiTheme="majorEastAsia" w:eastAsiaTheme="majorEastAsia" w:cstheme="majorEastAsia"/>
                      <w:color w:val="auto"/>
                      <w:sz w:val="21"/>
                      <w:szCs w:val="21"/>
                      <w:highlight w:val="none"/>
                    </w:rPr>
                    <w:t>前期测试验证的高性能服务器</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兼容现有局内测试环境。</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227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路</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1013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0.000</w:t>
                  </w:r>
                </w:p>
              </w:tc>
            </w:tr>
            <w:tr w14:paraId="0801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B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3B5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布放尾纤</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F93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1、布放尾纤 光纤配线架内跳线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2、尾纤 3m双头</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4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92259">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240.000</w:t>
                  </w:r>
                </w:p>
              </w:tc>
            </w:tr>
            <w:tr w14:paraId="7459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1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9AE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光模块收发器</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4B5F8">
                  <w:pPr>
                    <w:keepNext w:val="0"/>
                    <w:keepLines w:val="0"/>
                    <w:widowControl/>
                    <w:numPr>
                      <w:ilvl w:val="0"/>
                      <w:numId w:val="19"/>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rPr>
                    <w:t>含机房A端</w:t>
                  </w:r>
                  <w:r>
                    <w:rPr>
                      <w:rFonts w:hint="eastAsia" w:ascii="宋体" w:hAnsi="宋体" w:cs="宋体"/>
                      <w:i w:val="0"/>
                      <w:iCs w:val="0"/>
                      <w:color w:val="auto"/>
                      <w:kern w:val="0"/>
                      <w:sz w:val="21"/>
                      <w:szCs w:val="21"/>
                      <w:highlight w:val="none"/>
                      <w:u w:val="none"/>
                      <w:lang w:val="en-US" w:eastAsia="zh-CN"/>
                    </w:rPr>
                    <w:t>千兆光模块</w:t>
                  </w:r>
                  <w:r>
                    <w:rPr>
                      <w:rFonts w:hint="eastAsia" w:ascii="宋体" w:hAnsi="宋体" w:eastAsia="宋体" w:cs="宋体"/>
                      <w:i w:val="0"/>
                      <w:iCs w:val="0"/>
                      <w:color w:val="auto"/>
                      <w:kern w:val="0"/>
                      <w:sz w:val="21"/>
                      <w:szCs w:val="21"/>
                      <w:highlight w:val="none"/>
                      <w:u w:val="none"/>
                      <w:lang w:val="en-US" w:eastAsia="zh-CN"/>
                    </w:rPr>
                    <w:t>和杆体B端两光八电口全千兆收发器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2、用于杆体上的箱体中，防雷抗干扰耐高温</w:t>
                  </w:r>
                </w:p>
                <w:p w14:paraId="7F18D2A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满足项目技术要求</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25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6E9B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120.000</w:t>
                  </w:r>
                </w:p>
              </w:tc>
            </w:tr>
            <w:tr w14:paraId="3B6C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84EA6">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视频交换器</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09B7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1、工作组级</w:t>
                  </w:r>
                  <w:r>
                    <w:rPr>
                      <w:rFonts w:hint="eastAsia" w:ascii="宋体" w:hAnsi="宋体" w:cs="宋体"/>
                      <w:i w:val="0"/>
                      <w:iCs w:val="0"/>
                      <w:color w:val="auto"/>
                      <w:kern w:val="0"/>
                      <w:sz w:val="20"/>
                      <w:szCs w:val="20"/>
                      <w:highlight w:val="none"/>
                      <w:u w:val="none"/>
                      <w:lang w:val="en-US" w:eastAsia="zh-CN" w:bidi="ar"/>
                    </w:rPr>
                    <w:t>视频交换器</w:t>
                  </w:r>
                  <w:r>
                    <w:rPr>
                      <w:rFonts w:hint="eastAsia" w:ascii="宋体" w:hAnsi="宋体" w:eastAsia="宋体" w:cs="宋体"/>
                      <w:i w:val="0"/>
                      <w:iCs w:val="0"/>
                      <w:color w:val="auto"/>
                      <w:kern w:val="0"/>
                      <w:sz w:val="20"/>
                      <w:szCs w:val="20"/>
                      <w:highlight w:val="none"/>
                      <w:u w:val="none"/>
                      <w:lang w:val="en-US" w:eastAsia="zh-CN" w:bidi="ar"/>
                    </w:rPr>
                    <w:t>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2、局域网</w:t>
                  </w:r>
                  <w:r>
                    <w:rPr>
                      <w:rFonts w:hint="eastAsia" w:ascii="宋体" w:hAnsi="宋体" w:cs="宋体"/>
                      <w:i w:val="0"/>
                      <w:iCs w:val="0"/>
                      <w:color w:val="auto"/>
                      <w:kern w:val="0"/>
                      <w:sz w:val="20"/>
                      <w:szCs w:val="20"/>
                      <w:highlight w:val="none"/>
                      <w:u w:val="none"/>
                      <w:lang w:val="en-US" w:eastAsia="zh-CN" w:bidi="ar"/>
                    </w:rPr>
                    <w:t>视频交换器</w:t>
                  </w:r>
                  <w:r>
                    <w:rPr>
                      <w:rFonts w:hint="eastAsia" w:ascii="宋体" w:hAnsi="宋体" w:eastAsia="宋体" w:cs="宋体"/>
                      <w:i w:val="0"/>
                      <w:iCs w:val="0"/>
                      <w:color w:val="auto"/>
                      <w:kern w:val="0"/>
                      <w:sz w:val="20"/>
                      <w:szCs w:val="20"/>
                      <w:highlight w:val="none"/>
                      <w:u w:val="none"/>
                      <w:lang w:val="en-US" w:eastAsia="zh-CN" w:bidi="ar"/>
                    </w:rPr>
                    <w:t xml:space="preserve"> 48口全千兆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3、满足项目技术要求。</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1D6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B4CDB">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3.000</w:t>
                  </w:r>
                </w:p>
              </w:tc>
            </w:tr>
            <w:tr w14:paraId="3730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2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4FAEB">
                  <w:pPr>
                    <w:keepNext w:val="0"/>
                    <w:keepLines w:val="0"/>
                    <w:widowControl/>
                    <w:suppressLineNumbers w:val="0"/>
                    <w:jc w:val="lef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B4AFD">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sz w:val="21"/>
                      <w:szCs w:val="21"/>
                      <w:highlight w:val="none"/>
                      <w:u w:val="none"/>
                      <w:lang w:val="en-US" w:eastAsia="zh-CN"/>
                    </w:rPr>
                    <w:t>参数要求与“</w:t>
                  </w:r>
                  <w:r>
                    <w:rPr>
                      <w:rFonts w:hint="eastAsia"/>
                      <w:color w:val="auto"/>
                      <w:sz w:val="21"/>
                      <w:highlight w:val="none"/>
                      <w:lang w:val="en-US" w:eastAsia="zh-CN"/>
                    </w:rPr>
                    <w:t>2、详细技术参数”中的一致。</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9156A">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E247C">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2.000</w:t>
                  </w:r>
                </w:p>
              </w:tc>
            </w:tr>
            <w:tr w14:paraId="3C76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7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5F61D">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C1A90">
                  <w:pPr>
                    <w:pStyle w:val="11"/>
                    <w:jc w:val="both"/>
                    <w:rPr>
                      <w:rFonts w:hint="eastAsia" w:ascii="宋体" w:hAnsi="宋体" w:eastAsia="宋体" w:cs="宋体"/>
                      <w:i w:val="0"/>
                      <w:iCs w:val="0"/>
                      <w:color w:val="auto"/>
                      <w:sz w:val="20"/>
                      <w:szCs w:val="20"/>
                      <w:highlight w:val="none"/>
                      <w:u w:val="none"/>
                      <w:lang w:val="en-US"/>
                    </w:rPr>
                  </w:pPr>
                  <w:r>
                    <w:rPr>
                      <w:rFonts w:hint="eastAsia" w:ascii="宋体" w:hAnsi="宋体" w:cs="宋体"/>
                      <w:i w:val="0"/>
                      <w:iCs w:val="0"/>
                      <w:color w:val="auto"/>
                      <w:sz w:val="21"/>
                      <w:szCs w:val="21"/>
                      <w:highlight w:val="none"/>
                      <w:u w:val="none"/>
                      <w:lang w:val="en-US" w:eastAsia="zh-CN"/>
                    </w:rPr>
                    <w:t>参数要求与“</w:t>
                  </w:r>
                  <w:r>
                    <w:rPr>
                      <w:rFonts w:hint="eastAsia"/>
                      <w:color w:val="auto"/>
                      <w:sz w:val="21"/>
                      <w:highlight w:val="none"/>
                      <w:lang w:val="en-US" w:eastAsia="zh-CN"/>
                    </w:rPr>
                    <w:t>2、详细技术参数”中的一致。</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D3305">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C1C04">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146</w:t>
                  </w:r>
                  <w:r>
                    <w:rPr>
                      <w:rFonts w:hint="eastAsia" w:ascii="宋体" w:hAnsi="宋体" w:eastAsia="宋体" w:cs="宋体"/>
                      <w:i w:val="0"/>
                      <w:iCs w:val="0"/>
                      <w:color w:val="auto"/>
                      <w:kern w:val="0"/>
                      <w:sz w:val="20"/>
                      <w:szCs w:val="20"/>
                      <w:highlight w:val="none"/>
                      <w:u w:val="none"/>
                      <w:lang w:val="en-US" w:eastAsia="zh-CN" w:bidi="ar"/>
                    </w:rPr>
                    <w:t>.000</w:t>
                  </w:r>
                </w:p>
              </w:tc>
            </w:tr>
            <w:tr w14:paraId="5887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1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7D6FA">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光纤收发器收纳柜</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329B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1、线管理器安装 2U</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2、光纤收发器收纳柜 机构：2U机架式 电源配置：双电源热备份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电源输入：AC110-265V   电源输出：DC5V12A</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3、满足项目技术要求。</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61EC9">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56D10">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8.000</w:t>
                  </w:r>
                </w:p>
              </w:tc>
            </w:tr>
            <w:tr w14:paraId="5B96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8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5BE32">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跳线</w:t>
                  </w:r>
                </w:p>
              </w:tc>
              <w:tc>
                <w:tcPr>
                  <w:tcW w:w="5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C7CB4">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1、安装双绞线跳线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2、跳线 UTP-Cat6，5米/条</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4349">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条</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731DB">
                  <w:pPr>
                    <w:keepNext w:val="0"/>
                    <w:keepLines w:val="0"/>
                    <w:widowControl/>
                    <w:suppressLineNumbers w:val="0"/>
                    <w:jc w:val="right"/>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120</w:t>
                  </w:r>
                </w:p>
              </w:tc>
            </w:tr>
          </w:tbl>
          <w:p w14:paraId="1D3055CA">
            <w:pPr>
              <w:pStyle w:val="11"/>
              <w:numPr>
                <w:ilvl w:val="0"/>
                <w:numId w:val="0"/>
              </w:numPr>
              <w:jc w:val="both"/>
              <w:rPr>
                <w:rFonts w:hint="eastAsia"/>
                <w:b/>
                <w:bCs/>
                <w:color w:val="auto"/>
                <w:highlight w:val="none"/>
                <w:lang w:eastAsia="zh-CN"/>
              </w:rPr>
            </w:pPr>
          </w:p>
        </w:tc>
      </w:tr>
      <w:tr w14:paraId="07BD1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6E888931">
            <w:pPr>
              <w:pStyle w:val="11"/>
              <w:rPr>
                <w:color w:val="auto"/>
                <w:highlight w:val="none"/>
              </w:rPr>
            </w:pPr>
            <w:r>
              <w:rPr>
                <w:color w:val="auto"/>
                <w:highlight w:val="none"/>
              </w:rPr>
              <w:t>说明</w:t>
            </w:r>
          </w:p>
        </w:tc>
        <w:tc>
          <w:tcPr>
            <w:tcW w:w="8864" w:type="dxa"/>
            <w:gridSpan w:val="2"/>
          </w:tcPr>
          <w:p w14:paraId="4156C963">
            <w:pPr>
              <w:pStyle w:val="11"/>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5396AFAD">
      <w:pPr>
        <w:rPr>
          <w:color w:val="auto"/>
          <w:sz w:val="21"/>
          <w:szCs w:val="21"/>
          <w:highlight w:val="none"/>
        </w:rPr>
      </w:pPr>
      <w:r>
        <w:rPr>
          <w:color w:val="auto"/>
          <w:sz w:val="21"/>
          <w:szCs w:val="21"/>
          <w:highlight w:val="none"/>
        </w:rPr>
        <w:br w:type="page"/>
      </w:r>
    </w:p>
    <w:p w14:paraId="2C3D4846">
      <w:pPr>
        <w:pStyle w:val="2"/>
        <w:keepNext/>
        <w:keepLines/>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color w:val="auto"/>
          <w:sz w:val="21"/>
          <w:szCs w:val="21"/>
          <w:highlight w:val="none"/>
        </w:rPr>
        <w:t>采购包</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w:t>
      </w:r>
      <w:r>
        <w:rPr>
          <w:rFonts w:hint="eastAsia"/>
          <w:b/>
          <w:color w:val="auto"/>
          <w:sz w:val="21"/>
          <w:szCs w:val="21"/>
          <w:highlight w:val="none"/>
          <w:lang w:val="en-US" w:eastAsia="zh-CN"/>
        </w:rPr>
        <w:t>2024年视频监控项目——三期设备升级及运维和光纤线路租赁及数据存储项目</w:t>
      </w:r>
      <w:r>
        <w:rPr>
          <w:color w:val="auto"/>
          <w:sz w:val="21"/>
          <w:szCs w:val="21"/>
          <w:highlight w:val="none"/>
        </w:rPr>
        <w:t>）</w:t>
      </w:r>
    </w:p>
    <w:p w14:paraId="2B32F9E0">
      <w:pPr>
        <w:pStyle w:val="11"/>
        <w:outlineLvl w:val="2"/>
        <w:rPr>
          <w:b/>
          <w:color w:val="auto"/>
          <w:sz w:val="24"/>
          <w:szCs w:val="24"/>
          <w:highlight w:val="none"/>
        </w:rPr>
      </w:pPr>
      <w:r>
        <w:rPr>
          <w:b/>
          <w:color w:val="auto"/>
          <w:sz w:val="24"/>
          <w:szCs w:val="24"/>
          <w:highlight w:val="none"/>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8058"/>
      </w:tblGrid>
      <w:tr w14:paraId="1DB2C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0" w:hRule="atLeast"/>
        </w:trPr>
        <w:tc>
          <w:tcPr>
            <w:tcW w:w="1301" w:type="dxa"/>
          </w:tcPr>
          <w:p w14:paraId="2D0CFD9C">
            <w:pPr>
              <w:pStyle w:val="11"/>
              <w:rPr>
                <w:color w:val="auto"/>
                <w:highlight w:val="none"/>
              </w:rPr>
            </w:pPr>
            <w:r>
              <w:rPr>
                <w:color w:val="auto"/>
                <w:highlight w:val="none"/>
              </w:rPr>
              <w:t>标的提供的时间</w:t>
            </w:r>
          </w:p>
        </w:tc>
        <w:tc>
          <w:tcPr>
            <w:tcW w:w="8058" w:type="dxa"/>
          </w:tcPr>
          <w:p w14:paraId="6110A55B">
            <w:pPr>
              <w:numPr>
                <w:ilvl w:val="0"/>
                <w:numId w:val="0"/>
              </w:numPr>
              <w:snapToGrid w:val="0"/>
              <w:spacing w:line="360" w:lineRule="auto"/>
              <w:ind w:firstLine="420" w:firstLineChars="200"/>
              <w:rPr>
                <w:color w:val="auto"/>
                <w:highlight w:val="none"/>
              </w:rPr>
            </w:pPr>
            <w:r>
              <w:rPr>
                <w:rFonts w:hint="eastAsia" w:ascii="宋体" w:hAnsi="宋体" w:cs="宋体"/>
                <w:color w:val="auto"/>
                <w:kern w:val="0"/>
                <w:sz w:val="21"/>
                <w:szCs w:val="21"/>
                <w:highlight w:val="none"/>
                <w:lang w:val="en-US" w:eastAsia="zh-CN"/>
              </w:rPr>
              <w:t>合同生效之日起，中标人开始负责本项目光纤线路租赁和数据存储工作的正常运行。同时，中标人按采购人要求开展设备</w:t>
            </w:r>
            <w:r>
              <w:rPr>
                <w:rFonts w:hint="eastAsia"/>
                <w:color w:val="auto"/>
                <w:highlight w:val="none"/>
                <w:lang w:val="en-US" w:eastAsia="zh-CN"/>
              </w:rPr>
              <w:t>升级改造工作，且须在合同生效之日起60个自然日内完成</w:t>
            </w:r>
            <w:r>
              <w:rPr>
                <w:rFonts w:hint="eastAsia" w:ascii="宋体" w:hAnsi="宋体" w:cs="宋体"/>
                <w:color w:val="auto"/>
                <w:kern w:val="0"/>
                <w:sz w:val="21"/>
                <w:szCs w:val="21"/>
                <w:highlight w:val="none"/>
                <w:lang w:val="en-US" w:eastAsia="zh-CN"/>
              </w:rPr>
              <w:t>设备</w:t>
            </w:r>
            <w:r>
              <w:rPr>
                <w:rFonts w:hint="eastAsia"/>
                <w:color w:val="auto"/>
                <w:highlight w:val="none"/>
                <w:lang w:val="en-US" w:eastAsia="zh-CN"/>
              </w:rPr>
              <w:t>升级改造工作，完成后进入试运行期1个月，试运行结束后组织验收，自综合验收通过之日起进入24个月运维期</w:t>
            </w:r>
            <w:r>
              <w:rPr>
                <w:rFonts w:hint="eastAsia" w:ascii="宋体" w:hAnsi="宋体" w:eastAsia="宋体" w:cs="宋体"/>
                <w:color w:val="auto"/>
                <w:kern w:val="0"/>
                <w:sz w:val="21"/>
                <w:szCs w:val="21"/>
                <w:highlight w:val="none"/>
              </w:rPr>
              <w:t>。</w:t>
            </w:r>
          </w:p>
        </w:tc>
      </w:tr>
      <w:tr w14:paraId="27AB4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8" w:hRule="atLeast"/>
        </w:trPr>
        <w:tc>
          <w:tcPr>
            <w:tcW w:w="1301" w:type="dxa"/>
          </w:tcPr>
          <w:p w14:paraId="3F97309D">
            <w:pPr>
              <w:pStyle w:val="11"/>
              <w:rPr>
                <w:color w:val="auto"/>
                <w:highlight w:val="none"/>
              </w:rPr>
            </w:pPr>
            <w:r>
              <w:rPr>
                <w:color w:val="auto"/>
                <w:highlight w:val="none"/>
              </w:rPr>
              <w:t>标的提供的地点</w:t>
            </w:r>
          </w:p>
        </w:tc>
        <w:tc>
          <w:tcPr>
            <w:tcW w:w="8058" w:type="dxa"/>
          </w:tcPr>
          <w:p w14:paraId="19871F3D">
            <w:pPr>
              <w:pStyle w:val="11"/>
              <w:rPr>
                <w:color w:val="auto"/>
                <w:highlight w:val="none"/>
              </w:rPr>
            </w:pPr>
            <w:r>
              <w:rPr>
                <w:color w:val="auto"/>
                <w:highlight w:val="none"/>
              </w:rPr>
              <w:t>采购人指定地点。</w:t>
            </w:r>
          </w:p>
        </w:tc>
      </w:tr>
      <w:tr w14:paraId="3FDC1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11" w:hRule="atLeast"/>
        </w:trPr>
        <w:tc>
          <w:tcPr>
            <w:tcW w:w="1301" w:type="dxa"/>
          </w:tcPr>
          <w:p w14:paraId="1DE611F2">
            <w:pPr>
              <w:pStyle w:val="11"/>
              <w:rPr>
                <w:color w:val="auto"/>
                <w:highlight w:val="none"/>
              </w:rPr>
            </w:pPr>
            <w:r>
              <w:rPr>
                <w:color w:val="auto"/>
                <w:highlight w:val="none"/>
              </w:rPr>
              <w:t>付款方式</w:t>
            </w:r>
          </w:p>
        </w:tc>
        <w:tc>
          <w:tcPr>
            <w:tcW w:w="8058" w:type="dxa"/>
          </w:tcPr>
          <w:p w14:paraId="217E0B0B">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1期：支付比例100%,</w:t>
            </w:r>
          </w:p>
          <w:p w14:paraId="78F63606">
            <w:pPr>
              <w:pStyle w:val="11"/>
              <w:keepNext w:val="0"/>
              <w:keepLines w:val="0"/>
              <w:pageBreakBefore w:val="0"/>
              <w:widowControl/>
              <w:numPr>
                <w:ilvl w:val="0"/>
                <w:numId w:val="13"/>
              </w:numP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本项目自进入24个月运维期之日起，</w:t>
            </w:r>
            <w:r>
              <w:rPr>
                <w:rFonts w:hint="eastAsia"/>
                <w:color w:val="auto"/>
                <w:highlight w:val="none"/>
              </w:rPr>
              <w:t>按月支付</w:t>
            </w:r>
            <w:r>
              <w:rPr>
                <w:rFonts w:hint="eastAsia"/>
                <w:color w:val="auto"/>
                <w:highlight w:val="none"/>
                <w:lang w:val="en-US" w:eastAsia="zh-CN"/>
              </w:rPr>
              <w:t>合同款（每月支付金额=合同价/24个月）</w:t>
            </w:r>
            <w:r>
              <w:rPr>
                <w:rFonts w:hint="eastAsia"/>
                <w:color w:val="auto"/>
                <w:highlight w:val="none"/>
                <w:lang w:eastAsia="zh-CN"/>
              </w:rPr>
              <w:t>。中标人</w:t>
            </w:r>
            <w:r>
              <w:rPr>
                <w:rFonts w:hint="eastAsia"/>
                <w:color w:val="auto"/>
                <w:highlight w:val="none"/>
              </w:rPr>
              <w:t>开具同等金额的税务发票，采购人于次月向财政部门申请支付该</w:t>
            </w:r>
            <w:r>
              <w:rPr>
                <w:rFonts w:hint="eastAsia"/>
                <w:color w:val="auto"/>
                <w:highlight w:val="none"/>
                <w:lang w:eastAsia="zh-CN"/>
              </w:rPr>
              <w:t>月</w:t>
            </w:r>
            <w:r>
              <w:rPr>
                <w:rFonts w:hint="eastAsia"/>
                <w:color w:val="auto"/>
                <w:highlight w:val="none"/>
              </w:rPr>
              <w:t>的费</w:t>
            </w:r>
            <w:r>
              <w:rPr>
                <w:rFonts w:hint="eastAsia"/>
                <w:color w:val="auto"/>
                <w:highlight w:val="none"/>
                <w:lang w:val="en-US" w:eastAsia="zh-CN"/>
              </w:rPr>
              <w:t>用</w:t>
            </w:r>
            <w:r>
              <w:rPr>
                <w:rFonts w:hint="eastAsia"/>
                <w:color w:val="auto"/>
                <w:highlight w:val="none"/>
              </w:rPr>
              <w:t xml:space="preserve">。 </w:t>
            </w:r>
          </w:p>
          <w:p w14:paraId="19BC8A3A">
            <w:pPr>
              <w:pStyle w:val="11"/>
              <w:spacing w:line="360" w:lineRule="auto"/>
              <w:rPr>
                <w:color w:val="auto"/>
                <w:highlight w:val="none"/>
              </w:rPr>
            </w:pPr>
            <w:r>
              <w:rPr>
                <w:rFonts w:hint="eastAsia"/>
                <w:color w:val="auto"/>
                <w:highlight w:val="none"/>
              </w:rPr>
              <w:t>注：</w:t>
            </w:r>
            <w:r>
              <w:rPr>
                <w:color w:val="auto"/>
                <w:highlight w:val="none"/>
              </w:rPr>
              <w:t>因采购人使用的资金为财政资金，采购</w:t>
            </w:r>
            <w:r>
              <w:rPr>
                <w:rFonts w:hint="eastAsia"/>
                <w:color w:val="auto"/>
                <w:highlight w:val="none"/>
                <w:lang w:val="en-US" w:eastAsia="zh-CN"/>
              </w:rPr>
              <w:t>人</w:t>
            </w:r>
            <w:r>
              <w:rPr>
                <w:color w:val="auto"/>
                <w:highlight w:val="none"/>
              </w:rPr>
              <w:t>支付部门提出办理财政支付申请手续的时间（不含政府财政支付部门审核的时间），在规定时间内提出支付申请手续后，不视为逾期支付。</w:t>
            </w:r>
            <w:r>
              <w:rPr>
                <w:rFonts w:hint="eastAsia"/>
                <w:color w:val="auto"/>
                <w:highlight w:val="none"/>
              </w:rPr>
              <w:t xml:space="preserve"> </w:t>
            </w:r>
          </w:p>
          <w:p w14:paraId="7A3401A9">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如项目发生合同融资，采购人应当将合同款项支付到合同约定收款账户。</w:t>
            </w:r>
          </w:p>
        </w:tc>
      </w:tr>
      <w:tr w14:paraId="782F7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19" w:hRule="atLeast"/>
        </w:trPr>
        <w:tc>
          <w:tcPr>
            <w:tcW w:w="1301" w:type="dxa"/>
          </w:tcPr>
          <w:p w14:paraId="1AC2C2A4">
            <w:pPr>
              <w:pStyle w:val="11"/>
              <w:rPr>
                <w:color w:val="auto"/>
                <w:highlight w:val="none"/>
              </w:rPr>
            </w:pPr>
            <w:r>
              <w:rPr>
                <w:color w:val="auto"/>
                <w:highlight w:val="none"/>
              </w:rPr>
              <w:t>验收要求</w:t>
            </w:r>
          </w:p>
        </w:tc>
        <w:tc>
          <w:tcPr>
            <w:tcW w:w="8058" w:type="dxa"/>
          </w:tcPr>
          <w:p w14:paraId="404823A5">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w:t>
            </w:r>
            <w:r>
              <w:rPr>
                <w:color w:val="auto"/>
                <w:sz w:val="21"/>
                <w:highlight w:val="none"/>
              </w:rPr>
              <w:t>1</w:t>
            </w:r>
            <w:r>
              <w:rPr>
                <w:color w:val="auto"/>
                <w:highlight w:val="none"/>
              </w:rPr>
              <w:t>.本项目完成所有</w:t>
            </w:r>
            <w:r>
              <w:rPr>
                <w:rFonts w:hint="eastAsia"/>
                <w:color w:val="auto"/>
                <w:highlight w:val="none"/>
                <w:lang w:val="en-US" w:eastAsia="zh-CN"/>
              </w:rPr>
              <w:t>升级改造</w:t>
            </w:r>
            <w:r>
              <w:rPr>
                <w:color w:val="auto"/>
                <w:highlight w:val="none"/>
              </w:rPr>
              <w:t>设备安装调测后</w:t>
            </w:r>
            <w:r>
              <w:rPr>
                <w:rFonts w:hint="eastAsia"/>
                <w:color w:val="auto"/>
                <w:highlight w:val="none"/>
                <w:lang w:eastAsia="zh-CN"/>
              </w:rPr>
              <w:t>，</w:t>
            </w:r>
            <w:r>
              <w:rPr>
                <w:color w:val="auto"/>
                <w:highlight w:val="none"/>
              </w:rPr>
              <w:t>根据国家以及相关规定，由中标人组织</w:t>
            </w:r>
            <w:r>
              <w:rPr>
                <w:rFonts w:hint="eastAsia"/>
                <w:color w:val="auto"/>
                <w:highlight w:val="none"/>
                <w:lang w:val="en-US" w:eastAsia="zh-CN"/>
              </w:rPr>
              <w:t>相关人员进行</w:t>
            </w:r>
            <w:r>
              <w:rPr>
                <w:color w:val="auto"/>
                <w:highlight w:val="none"/>
              </w:rPr>
              <w:t>内部验收，内部验收合格后进入试运行阶段，试运行</w:t>
            </w:r>
            <w:r>
              <w:rPr>
                <w:rFonts w:hint="eastAsia"/>
                <w:color w:val="auto"/>
                <w:highlight w:val="none"/>
                <w:lang w:val="en-US" w:eastAsia="zh-CN"/>
              </w:rPr>
              <w:t>1</w:t>
            </w:r>
            <w:r>
              <w:rPr>
                <w:color w:val="auto"/>
                <w:highlight w:val="none"/>
              </w:rPr>
              <w:t>个月后，</w:t>
            </w:r>
            <w:r>
              <w:rPr>
                <w:rFonts w:hint="eastAsia"/>
                <w:color w:val="auto"/>
                <w:highlight w:val="none"/>
                <w:lang w:val="en-US" w:eastAsia="zh-CN"/>
              </w:rPr>
              <w:t>采购人</w:t>
            </w:r>
            <w:r>
              <w:rPr>
                <w:color w:val="auto"/>
                <w:highlight w:val="none"/>
              </w:rPr>
              <w:t>组织综合验收。</w:t>
            </w:r>
            <w:r>
              <w:rPr>
                <w:rFonts w:hint="eastAsia"/>
                <w:color w:val="auto"/>
                <w:sz w:val="21"/>
                <w:szCs w:val="21"/>
                <w:highlight w:val="none"/>
                <w:lang w:val="en-US" w:eastAsia="zh-CN"/>
              </w:rPr>
              <w:t>自升级改造综合验收通过后，运维期内</w:t>
            </w:r>
            <w:r>
              <w:rPr>
                <w:rFonts w:hint="eastAsia"/>
                <w:color w:val="auto"/>
                <w:sz w:val="21"/>
                <w:szCs w:val="21"/>
                <w:highlight w:val="none"/>
                <w:lang w:eastAsia="zh-CN"/>
              </w:rPr>
              <w:t>每月进行验收。</w:t>
            </w:r>
            <w:r>
              <w:rPr>
                <w:color w:val="auto"/>
                <w:sz w:val="21"/>
                <w:szCs w:val="21"/>
                <w:highlight w:val="none"/>
              </w:rPr>
              <w:t>中标人</w:t>
            </w:r>
            <w:r>
              <w:rPr>
                <w:rFonts w:hint="eastAsia"/>
                <w:color w:val="auto"/>
                <w:sz w:val="21"/>
                <w:szCs w:val="21"/>
                <w:highlight w:val="none"/>
                <w:u w:val="none"/>
                <w:lang w:val="en-US" w:eastAsia="zh-CN"/>
              </w:rPr>
              <w:t>每月</w:t>
            </w:r>
            <w:r>
              <w:rPr>
                <w:color w:val="auto"/>
                <w:sz w:val="21"/>
                <w:szCs w:val="21"/>
                <w:highlight w:val="none"/>
              </w:rPr>
              <w:t>提供</w:t>
            </w:r>
            <w:r>
              <w:rPr>
                <w:rFonts w:hint="eastAsia"/>
                <w:color w:val="auto"/>
                <w:sz w:val="21"/>
                <w:szCs w:val="21"/>
                <w:highlight w:val="none"/>
                <w:lang w:val="en-US" w:eastAsia="zh-CN"/>
              </w:rPr>
              <w:t>一次</w:t>
            </w:r>
            <w:r>
              <w:rPr>
                <w:color w:val="auto"/>
                <w:sz w:val="21"/>
                <w:szCs w:val="21"/>
                <w:highlight w:val="none"/>
              </w:rPr>
              <w:t>工作报告</w:t>
            </w:r>
            <w:r>
              <w:rPr>
                <w:rFonts w:hint="eastAsia"/>
                <w:color w:val="auto"/>
                <w:sz w:val="21"/>
                <w:szCs w:val="21"/>
                <w:highlight w:val="none"/>
                <w:lang w:eastAsia="zh-CN"/>
              </w:rPr>
              <w:t>，</w:t>
            </w:r>
            <w:r>
              <w:rPr>
                <w:color w:val="auto"/>
                <w:sz w:val="21"/>
                <w:szCs w:val="21"/>
                <w:highlight w:val="none"/>
              </w:rPr>
              <w:t>每月第一个工作周，将上月抢修、维护保养</w:t>
            </w:r>
            <w:r>
              <w:rPr>
                <w:rFonts w:hint="eastAsia"/>
                <w:color w:val="auto"/>
                <w:sz w:val="21"/>
                <w:szCs w:val="21"/>
                <w:highlight w:val="none"/>
                <w:lang w:eastAsia="zh-CN"/>
              </w:rPr>
              <w:t>、</w:t>
            </w:r>
            <w:r>
              <w:rPr>
                <w:rFonts w:hint="eastAsia"/>
                <w:color w:val="auto"/>
                <w:sz w:val="21"/>
                <w:szCs w:val="21"/>
                <w:highlight w:val="none"/>
                <w:lang w:val="en-US" w:eastAsia="zh-CN"/>
              </w:rPr>
              <w:t>故障排队等</w:t>
            </w:r>
            <w:r>
              <w:rPr>
                <w:color w:val="auto"/>
                <w:sz w:val="21"/>
                <w:szCs w:val="21"/>
                <w:highlight w:val="none"/>
              </w:rPr>
              <w:t>记录</w:t>
            </w:r>
            <w:r>
              <w:rPr>
                <w:rFonts w:hint="eastAsia"/>
                <w:color w:val="auto"/>
                <w:sz w:val="21"/>
                <w:szCs w:val="21"/>
                <w:highlight w:val="none"/>
                <w:lang w:val="en-US" w:eastAsia="zh-CN"/>
              </w:rPr>
              <w:t>整理汇编（电子档和纸质版），形成工作台账，和请款资料一并递交</w:t>
            </w:r>
            <w:r>
              <w:rPr>
                <w:rFonts w:hint="eastAsia"/>
                <w:color w:val="auto"/>
                <w:sz w:val="21"/>
                <w:szCs w:val="21"/>
                <w:highlight w:val="none"/>
                <w:u w:val="none"/>
                <w:lang w:val="en-US" w:eastAsia="zh-CN"/>
              </w:rPr>
              <w:t>采购人，如采购人出现资料不齐且未能按要求及时补正，采购人有权不支付合同款。</w:t>
            </w:r>
          </w:p>
          <w:p w14:paraId="7A78A3C8">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2.验收计划及程序</w:t>
            </w:r>
          </w:p>
          <w:p w14:paraId="002CE4CB">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2.1内部验收：</w:t>
            </w:r>
          </w:p>
          <w:p w14:paraId="5110853F">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2.1.1中标人根据合同、招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要求，检查项目完成情况后</w:t>
            </w:r>
            <w:r>
              <w:rPr>
                <w:rFonts w:hint="eastAsia"/>
                <w:color w:val="auto"/>
                <w:highlight w:val="none"/>
                <w:lang w:eastAsia="zh-CN"/>
              </w:rPr>
              <w:t>，</w:t>
            </w:r>
            <w:r>
              <w:rPr>
                <w:color w:val="auto"/>
                <w:highlight w:val="none"/>
              </w:rPr>
              <w:t>向采购人提出验收申请。</w:t>
            </w:r>
          </w:p>
          <w:p w14:paraId="1C9C0827">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2.1.2中标人提供验收材料：验收申请、完工报告、项目总结，以及要求的验收评审资料。</w:t>
            </w:r>
          </w:p>
          <w:p w14:paraId="3DDC64FA">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2.1.3在符合验收的条件下，采购人组织</w:t>
            </w:r>
            <w:r>
              <w:rPr>
                <w:rFonts w:hint="eastAsia"/>
                <w:color w:val="auto"/>
                <w:highlight w:val="none"/>
                <w:lang w:val="en-US" w:eastAsia="zh-CN"/>
              </w:rPr>
              <w:t>相关</w:t>
            </w:r>
            <w:r>
              <w:rPr>
                <w:color w:val="auto"/>
                <w:highlight w:val="none"/>
              </w:rPr>
              <w:t>专业人员进行验收。</w:t>
            </w:r>
          </w:p>
          <w:p w14:paraId="5A78F356">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2.2试运行：</w:t>
            </w:r>
            <w:r>
              <w:rPr>
                <w:rFonts w:hint="eastAsia"/>
                <w:color w:val="auto"/>
                <w:highlight w:val="none"/>
                <w:lang w:val="en-US" w:eastAsia="zh-CN"/>
              </w:rPr>
              <w:t>设备升级完成后，</w:t>
            </w:r>
            <w:r>
              <w:rPr>
                <w:color w:val="auto"/>
                <w:highlight w:val="none"/>
              </w:rPr>
              <w:t>项目进</w:t>
            </w:r>
            <w:r>
              <w:rPr>
                <w:rFonts w:hint="eastAsia"/>
                <w:color w:val="auto"/>
                <w:highlight w:val="none"/>
                <w:lang w:val="en-US" w:eastAsia="zh-CN"/>
              </w:rPr>
              <w:t>入1</w:t>
            </w:r>
            <w:r>
              <w:rPr>
                <w:color w:val="auto"/>
                <w:highlight w:val="none"/>
              </w:rPr>
              <w:t>个月试运</w:t>
            </w:r>
            <w:r>
              <w:rPr>
                <w:rFonts w:hint="eastAsia"/>
                <w:color w:val="auto"/>
                <w:highlight w:val="none"/>
                <w:lang w:val="en-US" w:eastAsia="zh-CN"/>
              </w:rPr>
              <w:t>行期</w:t>
            </w:r>
            <w:r>
              <w:rPr>
                <w:color w:val="auto"/>
                <w:highlight w:val="none"/>
              </w:rPr>
              <w:t>。</w:t>
            </w:r>
          </w:p>
          <w:p w14:paraId="734034B9">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color w:val="auto"/>
                <w:highlight w:val="none"/>
              </w:rPr>
              <w:t>2.3综合验收：试运行</w:t>
            </w:r>
            <w:r>
              <w:rPr>
                <w:rFonts w:hint="eastAsia"/>
                <w:color w:val="auto"/>
                <w:highlight w:val="none"/>
                <w:lang w:val="en-US" w:eastAsia="zh-CN"/>
              </w:rPr>
              <w:t>结束</w:t>
            </w:r>
            <w:r>
              <w:rPr>
                <w:color w:val="auto"/>
                <w:highlight w:val="none"/>
              </w:rPr>
              <w:t>后，采购人根据合同、招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的相关要求，检查项目完成情况，组织综合验收。</w:t>
            </w:r>
            <w:r>
              <w:rPr>
                <w:rFonts w:hint="eastAsia"/>
                <w:color w:val="auto"/>
                <w:highlight w:val="none"/>
                <w:lang w:val="en-US" w:eastAsia="zh-CN"/>
              </w:rPr>
              <w:t>自综合验收合格通过之日起，本项目进入24个月运维期。</w:t>
            </w:r>
          </w:p>
          <w:p w14:paraId="2E784A37">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3.</w:t>
            </w:r>
            <w:r>
              <w:rPr>
                <w:rFonts w:hint="eastAsia"/>
                <w:color w:val="auto"/>
                <w:highlight w:val="none"/>
                <w:lang w:val="en-US" w:eastAsia="zh-CN"/>
              </w:rPr>
              <w:t>中</w:t>
            </w:r>
            <w:r>
              <w:rPr>
                <w:color w:val="auto"/>
                <w:highlight w:val="none"/>
              </w:rPr>
              <w:t>标人应提前考虑可能出现的问题和风险，并提前制定应对措施，若验收不合格应尽快采取整改</w:t>
            </w:r>
            <w:r>
              <w:rPr>
                <w:rFonts w:hint="eastAsia"/>
                <w:color w:val="auto"/>
                <w:highlight w:val="none"/>
                <w:lang w:val="en-US" w:eastAsia="zh-CN"/>
              </w:rPr>
              <w:t>措施</w:t>
            </w:r>
            <w:r>
              <w:rPr>
                <w:color w:val="auto"/>
                <w:highlight w:val="none"/>
              </w:rPr>
              <w:t>调整</w:t>
            </w:r>
            <w:r>
              <w:rPr>
                <w:rFonts w:hint="eastAsia"/>
                <w:color w:val="auto"/>
                <w:highlight w:val="none"/>
                <w:lang w:eastAsia="zh-CN"/>
              </w:rPr>
              <w:t>，</w:t>
            </w:r>
            <w:r>
              <w:rPr>
                <w:color w:val="auto"/>
                <w:highlight w:val="none"/>
              </w:rPr>
              <w:t>以能达到通过验收标准。</w:t>
            </w:r>
          </w:p>
        </w:tc>
      </w:tr>
      <w:tr w14:paraId="55CF7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8" w:hRule="atLeast"/>
        </w:trPr>
        <w:tc>
          <w:tcPr>
            <w:tcW w:w="1301" w:type="dxa"/>
          </w:tcPr>
          <w:p w14:paraId="13D1ACA8">
            <w:pPr>
              <w:pStyle w:val="11"/>
              <w:rPr>
                <w:color w:val="auto"/>
                <w:highlight w:val="none"/>
              </w:rPr>
            </w:pPr>
            <w:r>
              <w:rPr>
                <w:color w:val="auto"/>
                <w:highlight w:val="none"/>
              </w:rPr>
              <w:t>履约保证金</w:t>
            </w:r>
          </w:p>
        </w:tc>
        <w:tc>
          <w:tcPr>
            <w:tcW w:w="8058" w:type="dxa"/>
          </w:tcPr>
          <w:p w14:paraId="051D61BC">
            <w:pPr>
              <w:pStyle w:val="11"/>
              <w:rPr>
                <w:color w:val="auto"/>
                <w:highlight w:val="none"/>
              </w:rPr>
            </w:pPr>
            <w:r>
              <w:rPr>
                <w:color w:val="auto"/>
                <w:highlight w:val="none"/>
              </w:rPr>
              <w:t>不收取</w:t>
            </w:r>
          </w:p>
        </w:tc>
      </w:tr>
      <w:tr w14:paraId="7959C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3" w:hRule="atLeast"/>
        </w:trPr>
        <w:tc>
          <w:tcPr>
            <w:tcW w:w="1301" w:type="dxa"/>
          </w:tcPr>
          <w:p w14:paraId="6A872945">
            <w:pPr>
              <w:pStyle w:val="11"/>
              <w:rPr>
                <w:color w:val="auto"/>
                <w:highlight w:val="none"/>
              </w:rPr>
            </w:pPr>
            <w:r>
              <w:rPr>
                <w:color w:val="auto"/>
                <w:highlight w:val="none"/>
              </w:rPr>
              <w:t>其他</w:t>
            </w:r>
          </w:p>
        </w:tc>
        <w:tc>
          <w:tcPr>
            <w:tcW w:w="8058" w:type="dxa"/>
          </w:tcPr>
          <w:p w14:paraId="10991950">
            <w:pPr>
              <w:pStyle w:val="11"/>
              <w:numPr>
                <w:ilvl w:val="-1"/>
                <w:numId w:val="0"/>
              </w:numPr>
              <w:ind w:left="0" w:leftChars="0" w:firstLine="420" w:firstLineChars="0"/>
              <w:jc w:val="both"/>
              <w:rPr>
                <w:rFonts w:hint="eastAsia" w:eastAsia="宋体"/>
                <w:color w:val="auto"/>
                <w:highlight w:val="none"/>
                <w:lang w:val="en-US" w:eastAsia="zh-CN"/>
              </w:rPr>
            </w:pPr>
            <w:r>
              <w:rPr>
                <w:rFonts w:hint="eastAsia"/>
                <w:color w:val="auto"/>
                <w:highlight w:val="none"/>
                <w:lang w:val="en-US" w:eastAsia="zh-CN"/>
              </w:rPr>
              <w:t>/</w:t>
            </w:r>
          </w:p>
        </w:tc>
      </w:tr>
    </w:tbl>
    <w:p w14:paraId="28CBD851">
      <w:pPr>
        <w:bidi w:val="0"/>
        <w:rPr>
          <w:color w:val="auto"/>
          <w:highlight w:val="none"/>
        </w:rPr>
      </w:pPr>
    </w:p>
    <w:p w14:paraId="12C0902C">
      <w:pPr>
        <w:pStyle w:val="11"/>
        <w:outlineLvl w:val="2"/>
        <w:rPr>
          <w:b/>
          <w:color w:val="auto"/>
          <w:sz w:val="24"/>
          <w:szCs w:val="24"/>
          <w:highlight w:val="none"/>
        </w:rPr>
      </w:pPr>
      <w:r>
        <w:rPr>
          <w:b/>
          <w:color w:val="auto"/>
          <w:sz w:val="24"/>
          <w:szCs w:val="24"/>
          <w:highlight w:val="none"/>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4"/>
        <w:gridCol w:w="820"/>
        <w:gridCol w:w="1207"/>
        <w:gridCol w:w="509"/>
        <w:gridCol w:w="661"/>
        <w:gridCol w:w="1632"/>
        <w:gridCol w:w="1761"/>
        <w:gridCol w:w="1408"/>
        <w:gridCol w:w="854"/>
      </w:tblGrid>
      <w:tr w14:paraId="26212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1" w:hRule="atLeast"/>
        </w:trPr>
        <w:tc>
          <w:tcPr>
            <w:tcW w:w="644" w:type="dxa"/>
          </w:tcPr>
          <w:p w14:paraId="7E22D483">
            <w:pPr>
              <w:pStyle w:val="11"/>
              <w:jc w:val="center"/>
              <w:rPr>
                <w:color w:val="auto"/>
                <w:highlight w:val="none"/>
              </w:rPr>
            </w:pPr>
            <w:r>
              <w:rPr>
                <w:color w:val="auto"/>
                <w:highlight w:val="none"/>
              </w:rPr>
              <w:t>序号</w:t>
            </w:r>
          </w:p>
        </w:tc>
        <w:tc>
          <w:tcPr>
            <w:tcW w:w="820" w:type="dxa"/>
          </w:tcPr>
          <w:p w14:paraId="43BFAFFA">
            <w:pPr>
              <w:pStyle w:val="11"/>
              <w:jc w:val="center"/>
              <w:rPr>
                <w:color w:val="auto"/>
                <w:highlight w:val="none"/>
              </w:rPr>
            </w:pPr>
            <w:r>
              <w:rPr>
                <w:color w:val="auto"/>
                <w:highlight w:val="none"/>
              </w:rPr>
              <w:t>品目名称</w:t>
            </w:r>
          </w:p>
        </w:tc>
        <w:tc>
          <w:tcPr>
            <w:tcW w:w="1207" w:type="dxa"/>
          </w:tcPr>
          <w:p w14:paraId="7391F0A6">
            <w:pPr>
              <w:pStyle w:val="11"/>
              <w:jc w:val="center"/>
              <w:rPr>
                <w:color w:val="auto"/>
                <w:highlight w:val="none"/>
              </w:rPr>
            </w:pPr>
            <w:r>
              <w:rPr>
                <w:color w:val="auto"/>
                <w:highlight w:val="none"/>
              </w:rPr>
              <w:t>标的名称</w:t>
            </w:r>
          </w:p>
        </w:tc>
        <w:tc>
          <w:tcPr>
            <w:tcW w:w="509" w:type="dxa"/>
          </w:tcPr>
          <w:p w14:paraId="5932D4FB">
            <w:pPr>
              <w:pStyle w:val="11"/>
              <w:jc w:val="center"/>
              <w:rPr>
                <w:color w:val="auto"/>
                <w:highlight w:val="none"/>
              </w:rPr>
            </w:pPr>
            <w:r>
              <w:rPr>
                <w:color w:val="auto"/>
                <w:highlight w:val="none"/>
              </w:rPr>
              <w:t>单位</w:t>
            </w:r>
          </w:p>
        </w:tc>
        <w:tc>
          <w:tcPr>
            <w:tcW w:w="661" w:type="dxa"/>
          </w:tcPr>
          <w:p w14:paraId="2B217222">
            <w:pPr>
              <w:pStyle w:val="11"/>
              <w:jc w:val="center"/>
              <w:rPr>
                <w:color w:val="auto"/>
                <w:highlight w:val="none"/>
              </w:rPr>
            </w:pPr>
            <w:r>
              <w:rPr>
                <w:color w:val="auto"/>
                <w:highlight w:val="none"/>
              </w:rPr>
              <w:t>数量</w:t>
            </w:r>
          </w:p>
        </w:tc>
        <w:tc>
          <w:tcPr>
            <w:tcW w:w="1632" w:type="dxa"/>
          </w:tcPr>
          <w:p w14:paraId="73262A12">
            <w:pPr>
              <w:pStyle w:val="11"/>
              <w:jc w:val="center"/>
              <w:rPr>
                <w:color w:val="auto"/>
                <w:highlight w:val="none"/>
              </w:rPr>
            </w:pPr>
            <w:r>
              <w:rPr>
                <w:color w:val="auto"/>
                <w:highlight w:val="none"/>
              </w:rPr>
              <w:t>分项预算单价（元）</w:t>
            </w:r>
          </w:p>
        </w:tc>
        <w:tc>
          <w:tcPr>
            <w:tcW w:w="1761" w:type="dxa"/>
          </w:tcPr>
          <w:p w14:paraId="28A126B2">
            <w:pPr>
              <w:pStyle w:val="11"/>
              <w:jc w:val="center"/>
              <w:rPr>
                <w:color w:val="auto"/>
                <w:highlight w:val="none"/>
              </w:rPr>
            </w:pPr>
            <w:r>
              <w:rPr>
                <w:color w:val="auto"/>
                <w:highlight w:val="none"/>
              </w:rPr>
              <w:t>分项预算总价（元）</w:t>
            </w:r>
          </w:p>
        </w:tc>
        <w:tc>
          <w:tcPr>
            <w:tcW w:w="1408" w:type="dxa"/>
          </w:tcPr>
          <w:p w14:paraId="67BFB816">
            <w:pPr>
              <w:pStyle w:val="11"/>
              <w:rPr>
                <w:color w:val="auto"/>
                <w:highlight w:val="none"/>
              </w:rPr>
            </w:pPr>
            <w:r>
              <w:rPr>
                <w:color w:val="auto"/>
                <w:highlight w:val="none"/>
              </w:rPr>
              <w:t>所属行业</w:t>
            </w:r>
          </w:p>
        </w:tc>
        <w:tc>
          <w:tcPr>
            <w:tcW w:w="854" w:type="dxa"/>
          </w:tcPr>
          <w:p w14:paraId="065B3AB6">
            <w:pPr>
              <w:pStyle w:val="11"/>
              <w:jc w:val="center"/>
              <w:rPr>
                <w:color w:val="auto"/>
                <w:highlight w:val="none"/>
              </w:rPr>
            </w:pPr>
            <w:r>
              <w:rPr>
                <w:color w:val="auto"/>
                <w:highlight w:val="none"/>
              </w:rPr>
              <w:t>技术要求</w:t>
            </w:r>
          </w:p>
        </w:tc>
      </w:tr>
      <w:tr w14:paraId="6F6F4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644" w:type="dxa"/>
            <w:vAlign w:val="center"/>
          </w:tcPr>
          <w:p w14:paraId="71471FE1">
            <w:pPr>
              <w:pStyle w:val="11"/>
              <w:jc w:val="center"/>
              <w:rPr>
                <w:color w:val="auto"/>
                <w:highlight w:val="none"/>
              </w:rPr>
            </w:pPr>
            <w:r>
              <w:rPr>
                <w:color w:val="auto"/>
                <w:highlight w:val="none"/>
              </w:rPr>
              <w:t>1</w:t>
            </w:r>
          </w:p>
        </w:tc>
        <w:tc>
          <w:tcPr>
            <w:tcW w:w="820" w:type="dxa"/>
            <w:vAlign w:val="center"/>
          </w:tcPr>
          <w:p w14:paraId="3C3A3169">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07" w:type="dxa"/>
            <w:vAlign w:val="center"/>
          </w:tcPr>
          <w:p w14:paraId="1A78D5A3">
            <w:pPr>
              <w:pStyle w:val="11"/>
              <w:jc w:val="left"/>
              <w:rPr>
                <w:rFonts w:hint="eastAsia"/>
                <w:color w:val="auto"/>
                <w:highlight w:val="none"/>
                <w:lang w:eastAsia="zh-CN"/>
              </w:rPr>
            </w:pPr>
            <w:r>
              <w:rPr>
                <w:rFonts w:hint="eastAsia"/>
                <w:color w:val="auto"/>
                <w:highlight w:val="none"/>
                <w:lang w:val="en-US" w:eastAsia="zh-CN"/>
              </w:rPr>
              <w:t>三期设备升级及运维</w:t>
            </w:r>
          </w:p>
        </w:tc>
        <w:tc>
          <w:tcPr>
            <w:tcW w:w="509" w:type="dxa"/>
            <w:vAlign w:val="center"/>
          </w:tcPr>
          <w:p w14:paraId="4025B369">
            <w:pPr>
              <w:pStyle w:val="11"/>
              <w:jc w:val="center"/>
              <w:rPr>
                <w:color w:val="auto"/>
                <w:highlight w:val="none"/>
              </w:rPr>
            </w:pPr>
            <w:r>
              <w:rPr>
                <w:color w:val="auto"/>
                <w:highlight w:val="none"/>
              </w:rPr>
              <w:t>项</w:t>
            </w:r>
          </w:p>
        </w:tc>
        <w:tc>
          <w:tcPr>
            <w:tcW w:w="661" w:type="dxa"/>
            <w:vAlign w:val="center"/>
          </w:tcPr>
          <w:p w14:paraId="04C7D1A3">
            <w:pPr>
              <w:pStyle w:val="11"/>
              <w:jc w:val="center"/>
              <w:rPr>
                <w:color w:val="auto"/>
                <w:highlight w:val="none"/>
              </w:rPr>
            </w:pPr>
            <w:r>
              <w:rPr>
                <w:color w:val="auto"/>
                <w:highlight w:val="none"/>
              </w:rPr>
              <w:t>1.00</w:t>
            </w:r>
          </w:p>
        </w:tc>
        <w:tc>
          <w:tcPr>
            <w:tcW w:w="1632" w:type="dxa"/>
            <w:vAlign w:val="center"/>
          </w:tcPr>
          <w:p w14:paraId="0C7D3E47">
            <w:pPr>
              <w:pStyle w:val="11"/>
              <w:jc w:val="center"/>
              <w:rPr>
                <w:rFonts w:hint="eastAsia"/>
                <w:color w:val="auto"/>
                <w:highlight w:val="none"/>
                <w:lang w:val="en-US" w:eastAsia="zh-CN"/>
              </w:rPr>
            </w:pPr>
            <w:r>
              <w:rPr>
                <w:rFonts w:hint="eastAsia"/>
                <w:color w:val="auto"/>
                <w:highlight w:val="none"/>
                <w:lang w:val="en-US" w:eastAsia="zh-CN"/>
              </w:rPr>
              <w:t>2606400.00</w:t>
            </w:r>
          </w:p>
        </w:tc>
        <w:tc>
          <w:tcPr>
            <w:tcW w:w="1761" w:type="dxa"/>
            <w:vAlign w:val="center"/>
          </w:tcPr>
          <w:p w14:paraId="63B32D0B">
            <w:pPr>
              <w:pStyle w:val="11"/>
              <w:jc w:val="center"/>
              <w:rPr>
                <w:rFonts w:hint="eastAsia"/>
                <w:color w:val="auto"/>
                <w:highlight w:val="none"/>
                <w:lang w:val="en-US" w:eastAsia="zh-CN"/>
              </w:rPr>
            </w:pPr>
            <w:r>
              <w:rPr>
                <w:rFonts w:hint="eastAsia"/>
                <w:color w:val="auto"/>
                <w:highlight w:val="none"/>
                <w:lang w:val="en-US" w:eastAsia="zh-CN"/>
              </w:rPr>
              <w:t>2606400.00</w:t>
            </w:r>
          </w:p>
        </w:tc>
        <w:tc>
          <w:tcPr>
            <w:tcW w:w="1408" w:type="dxa"/>
            <w:vAlign w:val="center"/>
          </w:tcPr>
          <w:p w14:paraId="03470F35">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54" w:type="dxa"/>
            <w:vAlign w:val="center"/>
          </w:tcPr>
          <w:p w14:paraId="454FDC12">
            <w:pPr>
              <w:pStyle w:val="11"/>
              <w:jc w:val="left"/>
              <w:rPr>
                <w:rFonts w:hint="eastAsia"/>
                <w:color w:val="auto"/>
                <w:highlight w:val="none"/>
                <w:lang w:val="en-US" w:eastAsia="zh-CN"/>
              </w:rPr>
            </w:pPr>
            <w:r>
              <w:rPr>
                <w:rFonts w:hint="eastAsia"/>
                <w:color w:val="auto"/>
                <w:highlight w:val="none"/>
                <w:lang w:val="en-US" w:eastAsia="zh-CN"/>
              </w:rPr>
              <w:t>详见附表一</w:t>
            </w:r>
          </w:p>
        </w:tc>
      </w:tr>
      <w:tr w14:paraId="6BAD2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644" w:type="dxa"/>
            <w:vAlign w:val="center"/>
          </w:tcPr>
          <w:p w14:paraId="7373FBA7">
            <w:pPr>
              <w:pStyle w:val="11"/>
              <w:jc w:val="center"/>
              <w:rPr>
                <w:rFonts w:hint="default" w:eastAsia="宋体"/>
                <w:color w:val="auto"/>
                <w:highlight w:val="none"/>
                <w:lang w:val="en-US" w:eastAsia="zh-CN"/>
              </w:rPr>
            </w:pPr>
            <w:r>
              <w:rPr>
                <w:rFonts w:hint="eastAsia"/>
                <w:color w:val="auto"/>
                <w:highlight w:val="none"/>
                <w:lang w:val="en-US" w:eastAsia="zh-CN"/>
              </w:rPr>
              <w:t>2</w:t>
            </w:r>
          </w:p>
        </w:tc>
        <w:tc>
          <w:tcPr>
            <w:tcW w:w="820" w:type="dxa"/>
            <w:vAlign w:val="center"/>
          </w:tcPr>
          <w:p w14:paraId="39F09C5A">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07" w:type="dxa"/>
            <w:vAlign w:val="center"/>
          </w:tcPr>
          <w:p w14:paraId="19E95582">
            <w:pPr>
              <w:pStyle w:val="11"/>
              <w:jc w:val="left"/>
              <w:rPr>
                <w:rFonts w:hint="eastAsia"/>
                <w:color w:val="auto"/>
                <w:highlight w:val="none"/>
                <w:lang w:eastAsia="zh-CN"/>
              </w:rPr>
            </w:pPr>
            <w:r>
              <w:rPr>
                <w:rFonts w:hint="eastAsia"/>
                <w:color w:val="auto"/>
                <w:highlight w:val="none"/>
                <w:lang w:val="en-US" w:eastAsia="zh-CN"/>
              </w:rPr>
              <w:t>光纤线路租赁及数据存储项目</w:t>
            </w:r>
          </w:p>
        </w:tc>
        <w:tc>
          <w:tcPr>
            <w:tcW w:w="509" w:type="dxa"/>
            <w:vAlign w:val="center"/>
          </w:tcPr>
          <w:p w14:paraId="70667DB5">
            <w:pPr>
              <w:pStyle w:val="11"/>
              <w:jc w:val="center"/>
              <w:rPr>
                <w:color w:val="auto"/>
                <w:highlight w:val="none"/>
              </w:rPr>
            </w:pPr>
            <w:r>
              <w:rPr>
                <w:color w:val="auto"/>
                <w:highlight w:val="none"/>
              </w:rPr>
              <w:t>项</w:t>
            </w:r>
          </w:p>
        </w:tc>
        <w:tc>
          <w:tcPr>
            <w:tcW w:w="661" w:type="dxa"/>
            <w:vAlign w:val="center"/>
          </w:tcPr>
          <w:p w14:paraId="036E6974">
            <w:pPr>
              <w:pStyle w:val="11"/>
              <w:jc w:val="center"/>
              <w:rPr>
                <w:color w:val="auto"/>
                <w:highlight w:val="none"/>
              </w:rPr>
            </w:pPr>
            <w:r>
              <w:rPr>
                <w:color w:val="auto"/>
                <w:highlight w:val="none"/>
              </w:rPr>
              <w:t>1.00</w:t>
            </w:r>
          </w:p>
        </w:tc>
        <w:tc>
          <w:tcPr>
            <w:tcW w:w="1632" w:type="dxa"/>
            <w:vAlign w:val="center"/>
          </w:tcPr>
          <w:p w14:paraId="43B613DB">
            <w:pPr>
              <w:pStyle w:val="11"/>
              <w:jc w:val="center"/>
              <w:rPr>
                <w:rFonts w:hint="eastAsia"/>
                <w:color w:val="auto"/>
                <w:highlight w:val="none"/>
                <w:lang w:val="en-US" w:eastAsia="zh-CN"/>
              </w:rPr>
            </w:pPr>
            <w:r>
              <w:rPr>
                <w:rFonts w:hint="eastAsia"/>
                <w:color w:val="auto"/>
                <w:highlight w:val="none"/>
                <w:lang w:val="en-US" w:eastAsia="zh-CN"/>
              </w:rPr>
              <w:t>1635840.00</w:t>
            </w:r>
          </w:p>
        </w:tc>
        <w:tc>
          <w:tcPr>
            <w:tcW w:w="1761" w:type="dxa"/>
            <w:vAlign w:val="center"/>
          </w:tcPr>
          <w:p w14:paraId="7957ED1B">
            <w:pPr>
              <w:pStyle w:val="11"/>
              <w:jc w:val="center"/>
              <w:rPr>
                <w:rFonts w:hint="eastAsia"/>
                <w:color w:val="auto"/>
                <w:highlight w:val="none"/>
                <w:lang w:val="en-US" w:eastAsia="zh-CN"/>
              </w:rPr>
            </w:pPr>
            <w:r>
              <w:rPr>
                <w:rFonts w:hint="eastAsia"/>
                <w:color w:val="auto"/>
                <w:highlight w:val="none"/>
                <w:lang w:val="en-US" w:eastAsia="zh-CN"/>
              </w:rPr>
              <w:t>1635840.00</w:t>
            </w:r>
          </w:p>
        </w:tc>
        <w:tc>
          <w:tcPr>
            <w:tcW w:w="1408" w:type="dxa"/>
            <w:vAlign w:val="center"/>
          </w:tcPr>
          <w:p w14:paraId="7A4D7229">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54" w:type="dxa"/>
            <w:vAlign w:val="center"/>
          </w:tcPr>
          <w:p w14:paraId="5F952DD0">
            <w:pPr>
              <w:pStyle w:val="11"/>
              <w:jc w:val="left"/>
              <w:rPr>
                <w:rFonts w:hint="eastAsia"/>
                <w:color w:val="auto"/>
                <w:highlight w:val="none"/>
                <w:lang w:val="en-US" w:eastAsia="zh-CN"/>
              </w:rPr>
            </w:pPr>
            <w:r>
              <w:rPr>
                <w:rFonts w:hint="eastAsia"/>
                <w:color w:val="auto"/>
                <w:highlight w:val="none"/>
                <w:lang w:val="en-US" w:eastAsia="zh-CN"/>
              </w:rPr>
              <w:t>详见附表一</w:t>
            </w:r>
          </w:p>
        </w:tc>
      </w:tr>
    </w:tbl>
    <w:p w14:paraId="124A87AC">
      <w:pPr>
        <w:pStyle w:val="11"/>
        <w:outlineLvl w:val="2"/>
        <w:rPr>
          <w:rFonts w:hint="eastAsia"/>
          <w:b/>
          <w:color w:val="auto"/>
          <w:highlight w:val="none"/>
          <w:lang w:eastAsia="zh-CN"/>
        </w:rPr>
      </w:pPr>
      <w:r>
        <w:rPr>
          <w:b/>
          <w:color w:val="auto"/>
          <w:highlight w:val="none"/>
        </w:rPr>
        <w:t>附表一：</w:t>
      </w:r>
      <w:r>
        <w:rPr>
          <w:rFonts w:hint="eastAsia"/>
          <w:b/>
          <w:color w:val="auto"/>
          <w:sz w:val="21"/>
          <w:szCs w:val="21"/>
          <w:highlight w:val="none"/>
          <w:lang w:val="en-US" w:eastAsia="zh-CN"/>
        </w:rPr>
        <w:t>2024年视频监控项目——三期设备升级及运维和光纤线路租赁及数据存储项目</w:t>
      </w:r>
    </w:p>
    <w:tbl>
      <w:tblPr>
        <w:tblStyle w:val="8"/>
        <w:tblW w:w="96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8"/>
        <w:gridCol w:w="339"/>
        <w:gridCol w:w="8569"/>
      </w:tblGrid>
      <w:tr w14:paraId="67FAE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vAlign w:val="center"/>
          </w:tcPr>
          <w:p w14:paraId="134E1A77">
            <w:pPr>
              <w:pStyle w:val="11"/>
              <w:jc w:val="center"/>
              <w:rPr>
                <w:b/>
                <w:bCs/>
                <w:color w:val="auto"/>
                <w:highlight w:val="none"/>
              </w:rPr>
            </w:pPr>
            <w:r>
              <w:rPr>
                <w:b/>
                <w:bCs/>
                <w:color w:val="auto"/>
                <w:highlight w:val="none"/>
              </w:rPr>
              <w:t>参数性质</w:t>
            </w:r>
          </w:p>
        </w:tc>
        <w:tc>
          <w:tcPr>
            <w:tcW w:w="339" w:type="dxa"/>
            <w:vAlign w:val="center"/>
          </w:tcPr>
          <w:p w14:paraId="484BCCAF">
            <w:pPr>
              <w:pStyle w:val="11"/>
              <w:jc w:val="center"/>
              <w:rPr>
                <w:b/>
                <w:bCs/>
                <w:color w:val="auto"/>
                <w:highlight w:val="none"/>
              </w:rPr>
            </w:pPr>
            <w:r>
              <w:rPr>
                <w:b/>
                <w:bCs/>
                <w:color w:val="auto"/>
                <w:highlight w:val="none"/>
              </w:rPr>
              <w:t>序号</w:t>
            </w:r>
          </w:p>
        </w:tc>
        <w:tc>
          <w:tcPr>
            <w:tcW w:w="8569" w:type="dxa"/>
            <w:vAlign w:val="center"/>
          </w:tcPr>
          <w:p w14:paraId="7DEE9DF5">
            <w:pPr>
              <w:pStyle w:val="11"/>
              <w:jc w:val="center"/>
              <w:rPr>
                <w:b/>
                <w:bCs/>
                <w:color w:val="auto"/>
                <w:highlight w:val="none"/>
              </w:rPr>
            </w:pPr>
            <w:r>
              <w:rPr>
                <w:b/>
                <w:bCs/>
                <w:color w:val="auto"/>
                <w:highlight w:val="none"/>
              </w:rPr>
              <w:t>具体技术(参数)要求</w:t>
            </w:r>
          </w:p>
        </w:tc>
      </w:tr>
      <w:tr w14:paraId="54AF5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6661101B">
            <w:pPr>
              <w:rPr>
                <w:color w:val="auto"/>
                <w:highlight w:val="none"/>
              </w:rPr>
            </w:pPr>
          </w:p>
        </w:tc>
        <w:tc>
          <w:tcPr>
            <w:tcW w:w="339" w:type="dxa"/>
          </w:tcPr>
          <w:p w14:paraId="2CF539BC">
            <w:pPr>
              <w:pStyle w:val="11"/>
              <w:jc w:val="center"/>
              <w:rPr>
                <w:color w:val="auto"/>
                <w:highlight w:val="none"/>
              </w:rPr>
            </w:pPr>
            <w:r>
              <w:rPr>
                <w:color w:val="auto"/>
                <w:highlight w:val="none"/>
              </w:rPr>
              <w:t>1</w:t>
            </w:r>
          </w:p>
        </w:tc>
        <w:tc>
          <w:tcPr>
            <w:tcW w:w="8569" w:type="dxa"/>
          </w:tcPr>
          <w:p w14:paraId="0779E5A0">
            <w:pPr>
              <w:pStyle w:val="11"/>
              <w:numPr>
                <w:ilvl w:val="0"/>
                <w:numId w:val="0"/>
              </w:numPr>
              <w:jc w:val="both"/>
              <w:rPr>
                <w:rFonts w:hint="eastAsia" w:ascii="宋体" w:hAnsi="宋体" w:eastAsia="宋体" w:cs="宋体"/>
                <w:b/>
                <w:bCs/>
                <w:color w:val="auto"/>
                <w:sz w:val="21"/>
                <w:szCs w:val="21"/>
                <w:highlight w:val="none"/>
                <w:shd w:val="clear" w:color="auto" w:fill="FFFFFF"/>
                <w:lang w:eastAsia="zh-CN"/>
              </w:rPr>
            </w:pPr>
            <w:r>
              <w:rPr>
                <w:rFonts w:hint="eastAsia" w:ascii="宋体" w:hAnsi="宋体" w:cs="宋体"/>
                <w:b/>
                <w:bCs/>
                <w:color w:val="auto"/>
                <w:sz w:val="21"/>
                <w:szCs w:val="21"/>
                <w:highlight w:val="none"/>
                <w:shd w:val="clear" w:color="auto" w:fill="FFFFFF"/>
                <w:lang w:eastAsia="zh-CN"/>
              </w:rPr>
              <w:t>一、</w:t>
            </w:r>
            <w:r>
              <w:rPr>
                <w:rFonts w:hint="eastAsia" w:ascii="宋体" w:hAnsi="宋体" w:eastAsia="宋体" w:cs="宋体"/>
                <w:b/>
                <w:bCs/>
                <w:color w:val="auto"/>
                <w:sz w:val="21"/>
                <w:szCs w:val="21"/>
                <w:highlight w:val="none"/>
                <w:shd w:val="clear" w:color="auto" w:fill="FFFFFF"/>
                <w:lang w:eastAsia="zh-CN"/>
              </w:rPr>
              <w:t>项目要求</w:t>
            </w:r>
          </w:p>
          <w:p w14:paraId="3C369C51">
            <w:pPr>
              <w:pStyle w:val="11"/>
              <w:numPr>
                <w:ilvl w:val="0"/>
                <w:numId w:val="0"/>
              </w:numPr>
              <w:ind w:firstLine="420" w:firstLineChars="200"/>
              <w:jc w:val="both"/>
              <w:rPr>
                <w:rFonts w:hint="eastAsia" w:ascii="宋体" w:hAnsi="宋体" w:eastAsia="宋体" w:cs="宋体"/>
                <w:color w:val="auto"/>
                <w:sz w:val="24"/>
                <w:highlight w:val="none"/>
                <w:shd w:val="clear" w:color="auto" w:fill="FFFFFF"/>
                <w:lang w:val="en-US" w:eastAsia="zh-CN"/>
              </w:rPr>
            </w:pPr>
            <w:r>
              <w:rPr>
                <w:rFonts w:hint="eastAsia"/>
                <w:color w:val="auto"/>
                <w:sz w:val="21"/>
                <w:szCs w:val="21"/>
                <w:highlight w:val="none"/>
                <w:lang w:val="en-US" w:eastAsia="zh-CN"/>
              </w:rPr>
              <w:t>1.三期设备升级及运维服务:192个点位，三期光纤线路租赁及数据存储服务:192个点位，</w:t>
            </w:r>
            <w:r>
              <w:rPr>
                <w:rFonts w:hint="eastAsia"/>
                <w:b/>
                <w:bCs/>
                <w:color w:val="auto"/>
                <w:highlight w:val="none"/>
                <w:lang w:eastAsia="zh-CN"/>
              </w:rPr>
              <w:t>点位表</w:t>
            </w:r>
            <w:r>
              <w:rPr>
                <w:rFonts w:hint="eastAsia"/>
                <w:b/>
                <w:bCs/>
                <w:color w:val="auto"/>
                <w:highlight w:val="none"/>
                <w:lang w:val="en-US" w:eastAsia="zh-CN"/>
              </w:rPr>
              <w:t>详见附件，具体以采购人实际指定为准。</w:t>
            </w:r>
          </w:p>
        </w:tc>
      </w:tr>
      <w:tr w14:paraId="0D740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52" w:hRule="atLeast"/>
        </w:trPr>
        <w:tc>
          <w:tcPr>
            <w:tcW w:w="758" w:type="dxa"/>
          </w:tcPr>
          <w:p w14:paraId="5A05A025">
            <w:pPr>
              <w:rPr>
                <w:color w:val="auto"/>
                <w:highlight w:val="none"/>
              </w:rPr>
            </w:pPr>
          </w:p>
        </w:tc>
        <w:tc>
          <w:tcPr>
            <w:tcW w:w="339" w:type="dxa"/>
          </w:tcPr>
          <w:p w14:paraId="123E7BAB">
            <w:pPr>
              <w:pStyle w:val="11"/>
              <w:jc w:val="center"/>
              <w:rPr>
                <w:color w:val="auto"/>
                <w:highlight w:val="none"/>
              </w:rPr>
            </w:pPr>
            <w:r>
              <w:rPr>
                <w:color w:val="auto"/>
                <w:highlight w:val="none"/>
              </w:rPr>
              <w:t>2</w:t>
            </w:r>
          </w:p>
        </w:tc>
        <w:tc>
          <w:tcPr>
            <w:tcW w:w="8569" w:type="dxa"/>
          </w:tcPr>
          <w:p w14:paraId="25BE2B93">
            <w:pPr>
              <w:pStyle w:val="11"/>
              <w:numPr>
                <w:ilvl w:val="0"/>
                <w:numId w:val="0"/>
              </w:numPr>
              <w:jc w:val="both"/>
              <w:rPr>
                <w:color w:val="auto"/>
                <w:sz w:val="21"/>
                <w:highlight w:val="none"/>
              </w:rPr>
            </w:pPr>
            <w:r>
              <w:rPr>
                <w:rFonts w:hint="eastAsia"/>
                <w:b/>
                <w:bCs/>
                <w:color w:val="auto"/>
                <w:highlight w:val="none"/>
                <w:lang w:eastAsia="zh-CN"/>
              </w:rPr>
              <w:t>二、设备升级改造清单</w:t>
            </w:r>
            <w:r>
              <w:rPr>
                <w:b/>
                <w:color w:val="auto"/>
                <w:sz w:val="21"/>
                <w:highlight w:val="none"/>
              </w:rPr>
              <w:t>及其参数要求</w:t>
            </w:r>
          </w:p>
          <w:p w14:paraId="2165BBB2">
            <w:pPr>
              <w:pStyle w:val="11"/>
              <w:numPr>
                <w:ilvl w:val="0"/>
                <w:numId w:val="0"/>
              </w:numPr>
              <w:ind w:firstLine="420" w:firstLineChars="200"/>
              <w:jc w:val="both"/>
              <w:rPr>
                <w:color w:val="auto"/>
                <w:sz w:val="21"/>
                <w:highlight w:val="none"/>
              </w:rPr>
            </w:pPr>
            <w:r>
              <w:rPr>
                <w:color w:val="auto"/>
                <w:sz w:val="21"/>
                <w:highlight w:val="none"/>
              </w:rPr>
              <w:t>本系统的建设坚持“技术上先进，使用上实用，经济上合理”的原则。为确保系统的实用性、可靠性，所选用的设备应符合相关的国家标准和行业标准。并根据项目功能要求，系统建设的设备的技术参数均应不低于以下技术指标要求。</w:t>
            </w:r>
          </w:p>
          <w:p w14:paraId="52F8030F">
            <w:pPr>
              <w:pStyle w:val="11"/>
              <w:jc w:val="both"/>
              <w:rPr>
                <w:rFonts w:hint="default" w:eastAsia="宋体"/>
                <w:color w:val="auto"/>
                <w:sz w:val="21"/>
                <w:highlight w:val="none"/>
                <w:lang w:val="en-US" w:eastAsia="zh-CN"/>
              </w:rPr>
            </w:pPr>
            <w:r>
              <w:rPr>
                <w:rFonts w:hint="eastAsia"/>
                <w:color w:val="auto"/>
                <w:sz w:val="21"/>
                <w:highlight w:val="none"/>
                <w:lang w:val="en-US" w:eastAsia="zh-CN"/>
              </w:rPr>
              <w:t>1、设备升级改造清单</w:t>
            </w:r>
          </w:p>
          <w:tbl>
            <w:tblPr>
              <w:tblStyle w:val="8"/>
              <w:tblW w:w="48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9"/>
              <w:gridCol w:w="4746"/>
              <w:gridCol w:w="1136"/>
              <w:gridCol w:w="1125"/>
            </w:tblGrid>
            <w:tr w14:paraId="320A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A75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序号</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AD4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设备名称</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7E5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7FA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1"/>
                      <w:szCs w:val="21"/>
                      <w:highlight w:val="none"/>
                      <w:u w:val="none"/>
                      <w:lang w:val="en-US" w:eastAsia="zh-CN"/>
                    </w:rPr>
                    <w:t>数量</w:t>
                  </w:r>
                </w:p>
              </w:tc>
            </w:tr>
            <w:tr w14:paraId="2386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exac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F4E3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AI结构化球机</w:t>
                  </w:r>
                  <w:r>
                    <w:rPr>
                      <w:rFonts w:hint="eastAsia" w:ascii="宋体" w:hAnsi="宋体" w:cs="宋体"/>
                      <w:i w:val="0"/>
                      <w:iCs w:val="0"/>
                      <w:color w:val="auto"/>
                      <w:kern w:val="0"/>
                      <w:sz w:val="21"/>
                      <w:szCs w:val="21"/>
                      <w:highlight w:val="none"/>
                      <w:u w:val="none"/>
                      <w:lang w:val="en-US" w:eastAsia="zh-CN"/>
                    </w:rPr>
                    <w:t>（每台球机配置不低于512 GB MicroSD卡存储）（含电源及安装支架）</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A1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C2A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192.000</w:t>
                  </w:r>
                </w:p>
              </w:tc>
            </w:tr>
            <w:tr w14:paraId="47AA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exac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8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437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1"/>
                      <w:szCs w:val="21"/>
                      <w:highlight w:val="none"/>
                      <w:u w:val="none"/>
                      <w:lang w:val="en-US" w:eastAsia="zh-CN"/>
                    </w:rPr>
                    <w:t>AI枪机</w:t>
                  </w:r>
                  <w:r>
                    <w:rPr>
                      <w:rFonts w:hint="eastAsia" w:ascii="宋体" w:hAnsi="宋体" w:cs="宋体"/>
                      <w:i w:val="0"/>
                      <w:iCs w:val="0"/>
                      <w:color w:val="auto"/>
                      <w:kern w:val="0"/>
                      <w:sz w:val="21"/>
                      <w:szCs w:val="21"/>
                      <w:highlight w:val="none"/>
                      <w:u w:val="none"/>
                      <w:lang w:val="en-US" w:eastAsia="zh-CN"/>
                    </w:rPr>
                    <w:t>（每台枪机不低于256</w:t>
                  </w:r>
                  <w:r>
                    <w:rPr>
                      <w:rFonts w:hint="eastAsia"/>
                      <w:color w:val="auto"/>
                      <w:highlight w:val="none"/>
                    </w:rPr>
                    <w:t>GB MicroSD卡存储</w:t>
                  </w:r>
                  <w:r>
                    <w:rPr>
                      <w:rFonts w:hint="eastAsia" w:ascii="宋体" w:hAnsi="宋体" w:cs="宋体"/>
                      <w:i w:val="0"/>
                      <w:iCs w:val="0"/>
                      <w:color w:val="auto"/>
                      <w:kern w:val="0"/>
                      <w:sz w:val="21"/>
                      <w:szCs w:val="21"/>
                      <w:highlight w:val="none"/>
                      <w:u w:val="none"/>
                      <w:lang w:val="en-US" w:eastAsia="zh-CN"/>
                    </w:rPr>
                    <w:t>）（含电源及安装支架）</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21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AF9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80.000</w:t>
                  </w:r>
                </w:p>
              </w:tc>
            </w:tr>
            <w:tr w14:paraId="4CA8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exac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B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07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0A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37A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1.000</w:t>
                  </w:r>
                </w:p>
              </w:tc>
            </w:tr>
            <w:tr w14:paraId="7535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exac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B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41F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C3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1EF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48</w:t>
                  </w:r>
                  <w:r>
                    <w:rPr>
                      <w:rFonts w:hint="eastAsia" w:ascii="宋体" w:hAnsi="宋体" w:eastAsia="宋体" w:cs="宋体"/>
                      <w:i w:val="0"/>
                      <w:iCs w:val="0"/>
                      <w:color w:val="auto"/>
                      <w:kern w:val="0"/>
                      <w:sz w:val="20"/>
                      <w:szCs w:val="20"/>
                      <w:highlight w:val="none"/>
                      <w:u w:val="none"/>
                      <w:lang w:val="en-US" w:eastAsia="zh-CN" w:bidi="ar"/>
                    </w:rPr>
                    <w:t>.000</w:t>
                  </w:r>
                </w:p>
              </w:tc>
            </w:tr>
            <w:tr w14:paraId="009E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E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2A1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电</w:t>
                  </w:r>
                  <w:r>
                    <w:rPr>
                      <w:rFonts w:hint="eastAsia" w:ascii="宋体" w:hAnsi="宋体" w:cs="宋体"/>
                      <w:i w:val="0"/>
                      <w:iCs w:val="0"/>
                      <w:color w:val="auto"/>
                      <w:kern w:val="0"/>
                      <w:sz w:val="20"/>
                      <w:szCs w:val="20"/>
                      <w:highlight w:val="none"/>
                      <w:u w:val="none"/>
                      <w:lang w:val="en-US" w:eastAsia="zh-CN" w:bidi="ar"/>
                    </w:rPr>
                    <w:t>箱</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2C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BD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192.000</w:t>
                  </w:r>
                </w:p>
              </w:tc>
            </w:tr>
            <w:tr w14:paraId="2859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exac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5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C5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视频交换器</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D6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台/套</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153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4.000</w:t>
                  </w:r>
                </w:p>
              </w:tc>
            </w:tr>
          </w:tbl>
          <w:p w14:paraId="7365E07A">
            <w:pPr>
              <w:pStyle w:val="11"/>
              <w:jc w:val="both"/>
              <w:rPr>
                <w:rFonts w:hint="default" w:eastAsia="宋体"/>
                <w:b/>
                <w:bCs/>
                <w:color w:val="auto"/>
                <w:highlight w:val="none"/>
                <w:lang w:val="en-US" w:eastAsia="zh-CN"/>
              </w:rPr>
            </w:pPr>
          </w:p>
          <w:p w14:paraId="579AC1F5">
            <w:pPr>
              <w:pStyle w:val="11"/>
              <w:jc w:val="both"/>
              <w:rPr>
                <w:rFonts w:hint="eastAsia" w:eastAsia="宋体"/>
                <w:color w:val="auto"/>
                <w:highlight w:val="none"/>
                <w:lang w:eastAsia="zh-CN"/>
              </w:rPr>
            </w:pPr>
          </w:p>
        </w:tc>
      </w:tr>
      <w:tr w14:paraId="3E696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70" w:hRule="exact"/>
        </w:trPr>
        <w:tc>
          <w:tcPr>
            <w:tcW w:w="758" w:type="dxa"/>
          </w:tcPr>
          <w:p w14:paraId="08746D9D">
            <w:pPr>
              <w:rPr>
                <w:color w:val="auto"/>
                <w:highlight w:val="none"/>
              </w:rPr>
            </w:pPr>
          </w:p>
        </w:tc>
        <w:tc>
          <w:tcPr>
            <w:tcW w:w="339" w:type="dxa"/>
          </w:tcPr>
          <w:p w14:paraId="4EB3EB5B">
            <w:pPr>
              <w:pStyle w:val="11"/>
              <w:jc w:val="center"/>
              <w:rPr>
                <w:rFonts w:hint="eastAsia" w:eastAsia="宋体"/>
                <w:color w:val="auto"/>
                <w:highlight w:val="none"/>
                <w:lang w:val="en-US" w:eastAsia="zh-CN"/>
              </w:rPr>
            </w:pPr>
          </w:p>
        </w:tc>
        <w:tc>
          <w:tcPr>
            <w:tcW w:w="8569" w:type="dxa"/>
          </w:tcPr>
          <w:p w14:paraId="704F9854">
            <w:pPr>
              <w:pStyle w:val="11"/>
              <w:jc w:val="both"/>
              <w:rPr>
                <w:rFonts w:hint="eastAsia" w:eastAsia="宋体"/>
                <w:color w:val="auto"/>
                <w:highlight w:val="none"/>
                <w:lang w:eastAsia="zh-CN"/>
              </w:rPr>
            </w:pPr>
            <w:r>
              <w:rPr>
                <w:rFonts w:hint="eastAsia"/>
                <w:b/>
                <w:bCs/>
                <w:color w:val="auto"/>
                <w:highlight w:val="none"/>
                <w:lang w:val="en-US" w:eastAsia="zh-CN"/>
              </w:rPr>
              <w:t>2、详细技术参数</w:t>
            </w:r>
          </w:p>
          <w:tbl>
            <w:tblPr>
              <w:tblStyle w:val="8"/>
              <w:tblW w:w="49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2"/>
              <w:gridCol w:w="767"/>
              <w:gridCol w:w="7136"/>
            </w:tblGrid>
            <w:tr w14:paraId="3E1F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88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10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42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F7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r>
            <w:tr w14:paraId="0F50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0" w:hRule="exac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E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C144F">
                  <w:pPr>
                    <w:pStyle w:val="11"/>
                    <w:widowControl w:val="0"/>
                    <w:numPr>
                      <w:ilvl w:val="0"/>
                      <w:numId w:val="0"/>
                    </w:numPr>
                    <w:ind w:left="0" w:leftChars="0" w:firstLine="0" w:firstLineChars="0"/>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1"/>
                      <w:szCs w:val="21"/>
                      <w:highlight w:val="none"/>
                      <w:u w:val="none"/>
                      <w:lang w:val="en-US" w:eastAsia="zh-CN"/>
                    </w:rPr>
                    <w:t>AI结构化球机</w:t>
                  </w:r>
                </w:p>
              </w:tc>
              <w:tc>
                <w:tcPr>
                  <w:tcW w:w="4280" w:type="pct"/>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8"/>
                    <w:tblW w:w="6908" w:type="dxa"/>
                    <w:tblInd w:w="0" w:type="dxa"/>
                    <w:tblLayout w:type="fixed"/>
                    <w:tblCellMar>
                      <w:top w:w="0" w:type="dxa"/>
                      <w:left w:w="108" w:type="dxa"/>
                      <w:bottom w:w="0" w:type="dxa"/>
                      <w:right w:w="108" w:type="dxa"/>
                    </w:tblCellMar>
                  </w:tblPr>
                  <w:tblGrid>
                    <w:gridCol w:w="459"/>
                    <w:gridCol w:w="6449"/>
                  </w:tblGrid>
                  <w:tr w14:paraId="11DD50D4">
                    <w:tblPrEx>
                      <w:tblCellMar>
                        <w:top w:w="0" w:type="dxa"/>
                        <w:left w:w="108" w:type="dxa"/>
                        <w:bottom w:w="0" w:type="dxa"/>
                        <w:right w:w="108" w:type="dxa"/>
                      </w:tblCellMar>
                    </w:tblPrEx>
                    <w:trPr>
                      <w:trHeight w:val="603" w:hRule="atLeast"/>
                    </w:trPr>
                    <w:tc>
                      <w:tcPr>
                        <w:tcW w:w="4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6C96D">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449" w:type="dxa"/>
                        <w:tcBorders>
                          <w:top w:val="single" w:color="auto" w:sz="4" w:space="0"/>
                          <w:left w:val="nil"/>
                          <w:bottom w:val="single" w:color="auto" w:sz="4" w:space="0"/>
                          <w:right w:val="single" w:color="auto" w:sz="4" w:space="0"/>
                        </w:tcBorders>
                        <w:shd w:val="clear" w:color="auto" w:fill="auto"/>
                        <w:vAlign w:val="center"/>
                      </w:tcPr>
                      <w:p w14:paraId="54CAFB41">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4E8704E8">
                    <w:tblPrEx>
                      <w:tblCellMar>
                        <w:top w:w="0" w:type="dxa"/>
                        <w:left w:w="108" w:type="dxa"/>
                        <w:bottom w:w="0" w:type="dxa"/>
                        <w:right w:w="108" w:type="dxa"/>
                      </w:tblCellMar>
                    </w:tblPrEx>
                    <w:trPr>
                      <w:trHeight w:val="1492" w:hRule="atLeas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4576212C">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449" w:type="dxa"/>
                        <w:tcBorders>
                          <w:top w:val="nil"/>
                          <w:left w:val="nil"/>
                          <w:bottom w:val="single" w:color="auto" w:sz="4" w:space="0"/>
                          <w:right w:val="single" w:color="auto" w:sz="4" w:space="0"/>
                        </w:tcBorders>
                        <w:shd w:val="clear" w:color="auto" w:fill="auto"/>
                        <w:vAlign w:val="center"/>
                      </w:tcPr>
                      <w:p w14:paraId="6FE123A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联动模式下，细节通道和全景通道可进行全结构化抓拍和属性分析；支持全景通道检测到移动目标后，可联动球机进行人脸、人体抓拍，全景检测宽度不小于15米。（需提供公安部检测机构出具的检测报告复印件证明，添加注明招标项目名称的水印，并加盖制造商投标专用章或公章）。</w:t>
                        </w:r>
                      </w:p>
                    </w:tc>
                  </w:tr>
                  <w:tr w14:paraId="56DECB85">
                    <w:tblPrEx>
                      <w:tblCellMar>
                        <w:top w:w="0" w:type="dxa"/>
                        <w:left w:w="108" w:type="dxa"/>
                        <w:bottom w:w="0" w:type="dxa"/>
                        <w:right w:w="108" w:type="dxa"/>
                      </w:tblCellMar>
                    </w:tblPrEx>
                    <w:trPr>
                      <w:trHeight w:val="1788" w:hRule="atLeas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56031916">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449" w:type="dxa"/>
                        <w:tcBorders>
                          <w:top w:val="nil"/>
                          <w:left w:val="nil"/>
                          <w:bottom w:val="single" w:color="auto" w:sz="4" w:space="0"/>
                          <w:right w:val="single" w:color="auto" w:sz="4" w:space="0"/>
                        </w:tcBorders>
                        <w:shd w:val="clear" w:color="auto" w:fill="auto"/>
                        <w:vAlign w:val="center"/>
                      </w:tcPr>
                      <w:p w14:paraId="33258C4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▲设备在进行主从标定后，联动模式下通过 3D标定键在全景视频图像中选择任意一像素点，球机视频图像可将此点像素点移至视频图像中央，全景镜头的 XY 坐标与球机镜头PTZ坐标标定准确率≥99%；（需提供公安部检测机构出具的检测报告复印件证明，添加注明招标项目名称的水印，并加盖制造商投标专用章或公章）。</w:t>
                        </w:r>
                      </w:p>
                    </w:tc>
                  </w:tr>
                  <w:tr w14:paraId="142E2AD8">
                    <w:tblPrEx>
                      <w:tblCellMar>
                        <w:top w:w="0" w:type="dxa"/>
                        <w:left w:w="108" w:type="dxa"/>
                        <w:bottom w:w="0" w:type="dxa"/>
                        <w:right w:w="108" w:type="dxa"/>
                      </w:tblCellMar>
                    </w:tblPrEx>
                    <w:trPr>
                      <w:trHeight w:val="1195" w:hRule="atLeast"/>
                    </w:trPr>
                    <w:tc>
                      <w:tcPr>
                        <w:tcW w:w="459" w:type="dxa"/>
                        <w:tcBorders>
                          <w:top w:val="nil"/>
                          <w:left w:val="single" w:color="auto" w:sz="4" w:space="0"/>
                          <w:bottom w:val="single" w:color="auto" w:sz="4" w:space="0"/>
                          <w:right w:val="single" w:color="auto" w:sz="4" w:space="0"/>
                        </w:tcBorders>
                        <w:shd w:val="clear" w:color="auto" w:fill="auto"/>
                        <w:noWrap/>
                        <w:vAlign w:val="center"/>
                      </w:tcPr>
                      <w:p w14:paraId="6090CFB6">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449" w:type="dxa"/>
                        <w:tcBorders>
                          <w:top w:val="nil"/>
                          <w:left w:val="nil"/>
                          <w:bottom w:val="single" w:color="auto" w:sz="4" w:space="0"/>
                          <w:right w:val="single" w:color="auto" w:sz="4" w:space="0"/>
                        </w:tcBorders>
                        <w:shd w:val="clear" w:color="auto" w:fill="auto"/>
                        <w:vAlign w:val="center"/>
                      </w:tcPr>
                      <w:p w14:paraId="17780B71">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引导式配置功能，可分为全景通道角度调节、全景联动配置，全景通道混合目标抓拍规则配置、鹰视聚焦配置。（需提供公安部检测机构出具的检测报告复印件证明，添加注明招标项目名称的水印，并加盖制造商投标专用章或公章）。</w:t>
                        </w:r>
                      </w:p>
                    </w:tc>
                  </w:tr>
                  <w:tr w14:paraId="4A3A270B">
                    <w:tblPrEx>
                      <w:tblCellMar>
                        <w:top w:w="0" w:type="dxa"/>
                        <w:left w:w="108" w:type="dxa"/>
                        <w:bottom w:w="0" w:type="dxa"/>
                        <w:right w:w="108" w:type="dxa"/>
                      </w:tblCellMar>
                    </w:tblPrEx>
                    <w:trPr>
                      <w:trHeight w:val="575" w:hRule="atLeast"/>
                    </w:trPr>
                    <w:tc>
                      <w:tcPr>
                        <w:tcW w:w="4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DCD42">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449" w:type="dxa"/>
                        <w:tcBorders>
                          <w:top w:val="single" w:color="auto" w:sz="4" w:space="0"/>
                          <w:left w:val="single" w:color="auto" w:sz="4" w:space="0"/>
                          <w:bottom w:val="single" w:color="auto" w:sz="4" w:space="0"/>
                          <w:right w:val="single" w:color="auto" w:sz="4" w:space="0"/>
                        </w:tcBorders>
                        <w:shd w:val="clear" w:color="auto" w:fill="auto"/>
                        <w:vAlign w:val="center"/>
                      </w:tcPr>
                      <w:p w14:paraId="6DB72ACA">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w:t>
                        </w:r>
                        <w:r>
                          <w:rPr>
                            <w:rFonts w:hint="eastAsia" w:ascii="宋体" w:hAnsi="宋体" w:cs="宋体"/>
                            <w:color w:val="auto"/>
                            <w:kern w:val="0"/>
                            <w:sz w:val="21"/>
                            <w:szCs w:val="21"/>
                            <w:highlight w:val="none"/>
                            <w:lang w:val="en-US" w:eastAsia="zh-CN"/>
                          </w:rPr>
                          <w:t>至少</w:t>
                        </w:r>
                        <w:r>
                          <w:rPr>
                            <w:rFonts w:hint="eastAsia" w:ascii="宋体" w:hAnsi="宋体" w:cs="宋体"/>
                            <w:color w:val="auto"/>
                            <w:kern w:val="0"/>
                            <w:sz w:val="21"/>
                            <w:szCs w:val="21"/>
                            <w:highlight w:val="none"/>
                          </w:rPr>
                          <w:t>具有1个RJ45网络接口</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1个micro sd卡槽、1个麦克风</w:t>
                        </w:r>
                        <w:r>
                          <w:rPr>
                            <w:rFonts w:hint="eastAsia" w:ascii="宋体" w:hAnsi="宋体" w:cs="宋体"/>
                            <w:color w:val="auto"/>
                            <w:kern w:val="0"/>
                            <w:sz w:val="21"/>
                            <w:szCs w:val="21"/>
                            <w:highlight w:val="none"/>
                            <w:lang w:eastAsia="zh-CN"/>
                          </w:rPr>
                          <w:t>。</w:t>
                        </w:r>
                      </w:p>
                    </w:tc>
                  </w:tr>
                  <w:tr w14:paraId="0262F9E8">
                    <w:tblPrEx>
                      <w:tblCellMar>
                        <w:top w:w="0" w:type="dxa"/>
                        <w:left w:w="108" w:type="dxa"/>
                        <w:bottom w:w="0" w:type="dxa"/>
                        <w:right w:w="108" w:type="dxa"/>
                      </w:tblCellMar>
                    </w:tblPrEx>
                    <w:trPr>
                      <w:trHeight w:val="537" w:hRule="atLeast"/>
                    </w:trPr>
                    <w:tc>
                      <w:tcPr>
                        <w:tcW w:w="4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8D805">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p>
                    </w:tc>
                    <w:tc>
                      <w:tcPr>
                        <w:tcW w:w="6449" w:type="dxa"/>
                        <w:tcBorders>
                          <w:top w:val="single" w:color="auto" w:sz="4" w:space="0"/>
                          <w:left w:val="single" w:color="auto" w:sz="4" w:space="0"/>
                          <w:bottom w:val="single" w:color="auto" w:sz="4" w:space="0"/>
                          <w:right w:val="single" w:color="auto" w:sz="4" w:space="0"/>
                        </w:tcBorders>
                        <w:shd w:val="clear" w:color="auto" w:fill="auto"/>
                        <w:vAlign w:val="center"/>
                      </w:tcPr>
                      <w:p w14:paraId="3035E372">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可输出</w:t>
                        </w:r>
                        <w:r>
                          <w:rPr>
                            <w:rFonts w:hint="eastAsia" w:ascii="宋体" w:hAnsi="宋体" w:cs="宋体"/>
                            <w:color w:val="auto"/>
                            <w:kern w:val="0"/>
                            <w:sz w:val="21"/>
                            <w:szCs w:val="21"/>
                            <w:highlight w:val="none"/>
                            <w:lang w:val="en-US" w:eastAsia="zh-CN"/>
                          </w:rPr>
                          <w:t>两</w:t>
                        </w:r>
                        <w:r>
                          <w:rPr>
                            <w:rFonts w:hint="eastAsia" w:ascii="宋体" w:hAnsi="宋体" w:cs="宋体"/>
                            <w:color w:val="auto"/>
                            <w:kern w:val="0"/>
                            <w:sz w:val="21"/>
                            <w:szCs w:val="21"/>
                            <w:highlight w:val="none"/>
                          </w:rPr>
                          <w:t>路视频图像：全景通道、细节通道。</w:t>
                        </w:r>
                      </w:p>
                    </w:tc>
                  </w:tr>
                  <w:tr w14:paraId="1C6AD550">
                    <w:tblPrEx>
                      <w:tblCellMar>
                        <w:top w:w="0" w:type="dxa"/>
                        <w:left w:w="108" w:type="dxa"/>
                        <w:bottom w:w="0" w:type="dxa"/>
                        <w:right w:w="108" w:type="dxa"/>
                      </w:tblCellMar>
                    </w:tblPrEx>
                    <w:trPr>
                      <w:trHeight w:val="604" w:hRule="atLeast"/>
                    </w:trPr>
                    <w:tc>
                      <w:tcPr>
                        <w:tcW w:w="4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D6944">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p>
                    </w:tc>
                    <w:tc>
                      <w:tcPr>
                        <w:tcW w:w="6449" w:type="dxa"/>
                        <w:tcBorders>
                          <w:top w:val="single" w:color="auto" w:sz="4" w:space="0"/>
                          <w:left w:val="single" w:color="auto" w:sz="4" w:space="0"/>
                          <w:bottom w:val="single" w:color="auto" w:sz="4" w:space="0"/>
                          <w:right w:val="single" w:color="auto" w:sz="4" w:space="0"/>
                        </w:tcBorders>
                        <w:shd w:val="clear" w:color="auto" w:fill="auto"/>
                        <w:vAlign w:val="center"/>
                      </w:tcPr>
                      <w:p w14:paraId="7E524ECF">
                        <w:pPr>
                          <w:pStyle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全景镜头通道支持分辨率</w:t>
                        </w:r>
                        <w:r>
                          <w:rPr>
                            <w:rFonts w:hint="eastAsia" w:ascii="宋体" w:hAnsi="宋体" w:cs="宋体"/>
                            <w:color w:val="auto"/>
                            <w:kern w:val="0"/>
                            <w:sz w:val="21"/>
                            <w:szCs w:val="21"/>
                            <w:highlight w:val="none"/>
                            <w:lang w:val="en-US" w:eastAsia="zh-CN"/>
                          </w:rPr>
                          <w:t>不小于360</w:t>
                        </w:r>
                        <w:r>
                          <w:rPr>
                            <w:rFonts w:hint="eastAsia" w:ascii="宋体" w:hAnsi="宋体" w:cs="宋体"/>
                            <w:color w:val="auto"/>
                            <w:kern w:val="0"/>
                            <w:sz w:val="21"/>
                            <w:szCs w:val="21"/>
                            <w:highlight w:val="none"/>
                          </w:rPr>
                          <w:t>0x1</w:t>
                        </w:r>
                        <w:r>
                          <w:rPr>
                            <w:rFonts w:hint="eastAsia" w:ascii="宋体" w:hAnsi="宋体" w:cs="宋体"/>
                            <w:color w:val="auto"/>
                            <w:kern w:val="0"/>
                            <w:sz w:val="21"/>
                            <w:szCs w:val="21"/>
                            <w:highlight w:val="none"/>
                            <w:lang w:val="en-US" w:eastAsia="zh-CN"/>
                          </w:rPr>
                          <w:t>60</w:t>
                        </w:r>
                        <w:r>
                          <w:rPr>
                            <w:rFonts w:hint="eastAsia" w:ascii="宋体" w:hAnsi="宋体" w:cs="宋体"/>
                            <w:color w:val="auto"/>
                            <w:kern w:val="0"/>
                            <w:sz w:val="21"/>
                            <w:szCs w:val="21"/>
                            <w:highlight w:val="none"/>
                          </w:rPr>
                          <w:t>0、细节镜头通道支持分辨率</w:t>
                        </w:r>
                        <w:r>
                          <w:rPr>
                            <w:rFonts w:hint="eastAsia" w:ascii="宋体" w:hAnsi="宋体" w:cs="宋体"/>
                            <w:color w:val="auto"/>
                            <w:kern w:val="0"/>
                            <w:sz w:val="21"/>
                            <w:szCs w:val="21"/>
                            <w:highlight w:val="none"/>
                            <w:lang w:val="en-US" w:eastAsia="zh-CN"/>
                          </w:rPr>
                          <w:t>不小于2688</w:t>
                        </w:r>
                        <w:r>
                          <w:rPr>
                            <w:rFonts w:hint="eastAsia" w:ascii="宋体" w:hAnsi="宋体" w:cs="宋体"/>
                            <w:color w:val="auto"/>
                            <w:kern w:val="0"/>
                            <w:sz w:val="21"/>
                            <w:szCs w:val="21"/>
                            <w:highlight w:val="none"/>
                          </w:rPr>
                          <w:t>x1</w:t>
                        </w:r>
                        <w:r>
                          <w:rPr>
                            <w:rFonts w:hint="eastAsia" w:ascii="宋体" w:hAnsi="宋体" w:cs="宋体"/>
                            <w:color w:val="auto"/>
                            <w:kern w:val="0"/>
                            <w:sz w:val="21"/>
                            <w:szCs w:val="21"/>
                            <w:highlight w:val="none"/>
                            <w:lang w:val="en-US" w:eastAsia="zh-CN"/>
                          </w:rPr>
                          <w:t>52</w:t>
                        </w: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球机</w:t>
                        </w:r>
                        <w:r>
                          <w:rPr>
                            <w:rFonts w:hint="eastAsia" w:ascii="宋体" w:hAnsi="宋体" w:cs="宋体"/>
                            <w:color w:val="auto"/>
                            <w:kern w:val="0"/>
                            <w:sz w:val="21"/>
                            <w:szCs w:val="21"/>
                            <w:highlight w:val="none"/>
                          </w:rPr>
                          <w:t>光学变倍不小于</w:t>
                        </w:r>
                        <w:r>
                          <w:rPr>
                            <w:rFonts w:hint="eastAsia" w:ascii="宋体" w:hAnsi="宋体" w:cs="宋体"/>
                            <w:color w:val="auto"/>
                            <w:kern w:val="0"/>
                            <w:sz w:val="21"/>
                            <w:szCs w:val="21"/>
                            <w:highlight w:val="none"/>
                            <w:lang w:val="en-US" w:eastAsia="zh-CN"/>
                          </w:rPr>
                          <w:t>25</w:t>
                        </w:r>
                        <w:r>
                          <w:rPr>
                            <w:rFonts w:hint="eastAsia" w:ascii="宋体" w:hAnsi="宋体" w:cs="宋体"/>
                            <w:color w:val="auto"/>
                            <w:kern w:val="0"/>
                            <w:sz w:val="21"/>
                            <w:szCs w:val="21"/>
                            <w:highlight w:val="none"/>
                          </w:rPr>
                          <w:t>倍</w:t>
                        </w:r>
                        <w:r>
                          <w:rPr>
                            <w:rFonts w:hint="eastAsia" w:ascii="宋体" w:hAnsi="宋体" w:cs="宋体"/>
                            <w:color w:val="auto"/>
                            <w:kern w:val="0"/>
                            <w:sz w:val="21"/>
                            <w:szCs w:val="21"/>
                            <w:highlight w:val="none"/>
                            <w:lang w:eastAsia="zh-CN"/>
                          </w:rPr>
                          <w:t>。</w:t>
                        </w:r>
                      </w:p>
                    </w:tc>
                  </w:tr>
                  <w:tr w14:paraId="1FC4F9ED">
                    <w:tblPrEx>
                      <w:tblCellMar>
                        <w:top w:w="0" w:type="dxa"/>
                        <w:left w:w="108" w:type="dxa"/>
                        <w:bottom w:w="0" w:type="dxa"/>
                        <w:right w:w="108" w:type="dxa"/>
                      </w:tblCellMar>
                    </w:tblPrEx>
                    <w:trPr>
                      <w:trHeight w:val="824" w:hRule="atLeast"/>
                    </w:trPr>
                    <w:tc>
                      <w:tcPr>
                        <w:tcW w:w="4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07012">
                        <w:pPr>
                          <w:widowControl/>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p>
                    </w:tc>
                    <w:tc>
                      <w:tcPr>
                        <w:tcW w:w="6449" w:type="dxa"/>
                        <w:tcBorders>
                          <w:top w:val="single" w:color="auto" w:sz="4" w:space="0"/>
                          <w:left w:val="single" w:color="auto" w:sz="4" w:space="0"/>
                          <w:bottom w:val="single" w:color="auto" w:sz="4" w:space="0"/>
                          <w:right w:val="single" w:color="auto" w:sz="4" w:space="0"/>
                        </w:tcBorders>
                        <w:shd w:val="clear" w:color="auto" w:fill="auto"/>
                        <w:vAlign w:val="center"/>
                      </w:tcPr>
                      <w:p w14:paraId="754EEF70">
                        <w:pPr>
                          <w:widowControl/>
                          <w:spacing w:line="24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细节</w:t>
                        </w:r>
                        <w:r>
                          <w:rPr>
                            <w:rFonts w:hint="eastAsia" w:ascii="宋体" w:hAnsi="宋体" w:cs="宋体"/>
                            <w:color w:val="auto"/>
                            <w:kern w:val="0"/>
                            <w:sz w:val="21"/>
                            <w:szCs w:val="21"/>
                            <w:highlight w:val="none"/>
                            <w:lang w:val="en-US" w:eastAsia="zh-CN"/>
                          </w:rPr>
                          <w:t>镜头支持机动车、非机动车、行人等目标检测、跟随、抓拍，支持人脸、车牌、非机动车车牌抠图的功能</w:t>
                        </w:r>
                        <w:r>
                          <w:rPr>
                            <w:rFonts w:hint="eastAsia" w:ascii="宋体" w:hAnsi="宋体" w:cs="宋体"/>
                            <w:color w:val="auto"/>
                            <w:kern w:val="0"/>
                            <w:sz w:val="21"/>
                            <w:szCs w:val="21"/>
                            <w:highlight w:val="none"/>
                          </w:rPr>
                          <w:t>。</w:t>
                        </w:r>
                      </w:p>
                    </w:tc>
                  </w:tr>
                </w:tbl>
                <w:p w14:paraId="38C5FE6D">
                  <w:pPr>
                    <w:pStyle w:val="3"/>
                    <w:keepNext w:val="0"/>
                    <w:keepLines w:val="0"/>
                    <w:pageBreakBefore w:val="0"/>
                    <w:widowControl w:val="0"/>
                    <w:kinsoku/>
                    <w:wordWrap/>
                    <w:overflowPunct/>
                    <w:topLinePunct w:val="0"/>
                    <w:autoSpaceDE/>
                    <w:autoSpaceDN/>
                    <w:bidi w:val="0"/>
                    <w:adjustRightInd/>
                    <w:snapToGrid/>
                    <w:spacing w:line="216" w:lineRule="exact"/>
                    <w:textAlignment w:val="auto"/>
                    <w:rPr>
                      <w:rFonts w:hint="eastAsia" w:ascii="宋体" w:hAnsi="宋体" w:eastAsia="宋体" w:cs="宋体"/>
                      <w:i w:val="0"/>
                      <w:iCs w:val="0"/>
                      <w:color w:val="auto"/>
                      <w:kern w:val="0"/>
                      <w:sz w:val="20"/>
                      <w:szCs w:val="20"/>
                      <w:highlight w:val="none"/>
                      <w:u w:val="none"/>
                      <w:lang w:val="en-US" w:eastAsia="zh-CN" w:bidi="ar"/>
                    </w:rPr>
                  </w:pPr>
                </w:p>
              </w:tc>
            </w:tr>
          </w:tbl>
          <w:p w14:paraId="42E8C375">
            <w:pPr>
              <w:pStyle w:val="11"/>
              <w:jc w:val="both"/>
              <w:rPr>
                <w:rFonts w:hint="eastAsia" w:eastAsia="宋体"/>
                <w:color w:val="auto"/>
                <w:highlight w:val="none"/>
                <w:lang w:eastAsia="zh-CN"/>
              </w:rPr>
            </w:pPr>
          </w:p>
        </w:tc>
      </w:tr>
      <w:tr w14:paraId="5548F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27668D22">
            <w:pPr>
              <w:rPr>
                <w:color w:val="auto"/>
                <w:highlight w:val="none"/>
              </w:rPr>
            </w:pPr>
          </w:p>
        </w:tc>
        <w:tc>
          <w:tcPr>
            <w:tcW w:w="339" w:type="dxa"/>
          </w:tcPr>
          <w:p w14:paraId="2BD122BA">
            <w:pPr>
              <w:pStyle w:val="11"/>
              <w:jc w:val="center"/>
              <w:rPr>
                <w:rFonts w:hint="eastAsia" w:eastAsia="宋体"/>
                <w:color w:val="auto"/>
                <w:highlight w:val="none"/>
                <w:lang w:eastAsia="zh-CN"/>
              </w:rPr>
            </w:pPr>
          </w:p>
        </w:tc>
        <w:tc>
          <w:tcPr>
            <w:tcW w:w="8569" w:type="dxa"/>
          </w:tcPr>
          <w:p w14:paraId="76297F98">
            <w:pPr>
              <w:pStyle w:val="11"/>
              <w:numPr>
                <w:ilvl w:val="0"/>
                <w:numId w:val="0"/>
              </w:numPr>
              <w:jc w:val="both"/>
              <w:rPr>
                <w:rFonts w:hint="eastAsia"/>
                <w:b/>
                <w:bCs/>
                <w:color w:val="auto"/>
                <w:highlight w:val="none"/>
                <w:lang w:eastAsia="zh-CN"/>
              </w:rPr>
            </w:pPr>
          </w:p>
          <w:tbl>
            <w:tblPr>
              <w:tblStyle w:val="9"/>
              <w:tblW w:w="8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904"/>
              <w:gridCol w:w="6944"/>
            </w:tblGrid>
            <w:tr w14:paraId="752D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dxa"/>
                  <w:shd w:val="clear" w:color="auto" w:fill="auto"/>
                  <w:vAlign w:val="center"/>
                </w:tcPr>
                <w:p w14:paraId="299EB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c>
                <w:tcPr>
                  <w:tcW w:w="904" w:type="dxa"/>
                  <w:shd w:val="clear" w:color="auto" w:fill="FFFFFF"/>
                  <w:vAlign w:val="center"/>
                </w:tcPr>
                <w:p w14:paraId="78398A86">
                  <w:pPr>
                    <w:pStyle w:val="11"/>
                    <w:widowControl w:val="0"/>
                    <w:numPr>
                      <w:ilvl w:val="0"/>
                      <w:numId w:val="0"/>
                    </w:numPr>
                    <w:ind w:left="0" w:leftChars="0" w:firstLine="0" w:firstLineChars="0"/>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AI枪机</w:t>
                  </w:r>
                </w:p>
              </w:tc>
              <w:tc>
                <w:tcPr>
                  <w:tcW w:w="6944" w:type="dxa"/>
                  <w:shd w:val="clear" w:color="auto" w:fill="FFFFFF"/>
                  <w:vAlign w:val="top"/>
                </w:tcPr>
                <w:tbl>
                  <w:tblPr>
                    <w:tblStyle w:val="8"/>
                    <w:tblW w:w="6239" w:type="dxa"/>
                    <w:tblInd w:w="0" w:type="dxa"/>
                    <w:tblLayout w:type="fixed"/>
                    <w:tblCellMar>
                      <w:top w:w="0" w:type="dxa"/>
                      <w:left w:w="108" w:type="dxa"/>
                      <w:bottom w:w="0" w:type="dxa"/>
                      <w:right w:w="108" w:type="dxa"/>
                    </w:tblCellMar>
                  </w:tblPr>
                  <w:tblGrid>
                    <w:gridCol w:w="339"/>
                    <w:gridCol w:w="5900"/>
                  </w:tblGrid>
                  <w:tr w14:paraId="03FE4D44">
                    <w:tblPrEx>
                      <w:tblCellMar>
                        <w:top w:w="0" w:type="dxa"/>
                        <w:left w:w="108" w:type="dxa"/>
                        <w:bottom w:w="0" w:type="dxa"/>
                        <w:right w:w="108" w:type="dxa"/>
                      </w:tblCellMar>
                    </w:tblPrEx>
                    <w:trPr>
                      <w:trHeight w:val="315" w:hRule="atLeast"/>
                    </w:trPr>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14:paraId="63CB6D6A">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5900" w:type="dxa"/>
                        <w:tcBorders>
                          <w:top w:val="single" w:color="auto" w:sz="4" w:space="0"/>
                          <w:left w:val="nil"/>
                          <w:bottom w:val="single" w:color="auto" w:sz="4" w:space="0"/>
                          <w:right w:val="single" w:color="auto" w:sz="4" w:space="0"/>
                        </w:tcBorders>
                        <w:shd w:val="clear" w:color="auto" w:fill="auto"/>
                        <w:vAlign w:val="center"/>
                      </w:tcPr>
                      <w:p w14:paraId="54C96801">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49D11BAD">
                    <w:tblPrEx>
                      <w:tblCellMar>
                        <w:top w:w="0" w:type="dxa"/>
                        <w:left w:w="108" w:type="dxa"/>
                        <w:bottom w:w="0" w:type="dxa"/>
                        <w:right w:w="108" w:type="dxa"/>
                      </w:tblCellMar>
                    </w:tblPrEx>
                    <w:trPr>
                      <w:trHeight w:val="315"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12B58FC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900" w:type="dxa"/>
                        <w:tcBorders>
                          <w:top w:val="nil"/>
                          <w:left w:val="nil"/>
                          <w:bottom w:val="single" w:color="auto" w:sz="4" w:space="0"/>
                          <w:right w:val="single" w:color="auto" w:sz="4" w:space="0"/>
                        </w:tcBorders>
                        <w:shd w:val="clear" w:color="auto" w:fill="auto"/>
                        <w:vAlign w:val="center"/>
                      </w:tcPr>
                      <w:p w14:paraId="42F0D2FE">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同时对检测区域内出现的人脸、人体、非机动车、车辆及车牌进行检测、框选、筛选抓拍，存储抓拍的图片，并支持识别、存储、上报车牌号码；支持关联显示人脸和人体图片、车牌和车辆图片，支持新能源车牌的抓拍和识别。（需提供公安部检测机构出具的检测报告复印件证明，添加注明招标项目名称的水印，并加盖制造商投标专用章或公章）。</w:t>
                        </w:r>
                      </w:p>
                    </w:tc>
                  </w:tr>
                  <w:tr w14:paraId="292DE3A7">
                    <w:tblPrEx>
                      <w:tblCellMar>
                        <w:top w:w="0" w:type="dxa"/>
                        <w:left w:w="108" w:type="dxa"/>
                        <w:bottom w:w="0" w:type="dxa"/>
                        <w:right w:w="108" w:type="dxa"/>
                      </w:tblCellMar>
                    </w:tblPrEx>
                    <w:trPr>
                      <w:trHeight w:val="315"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7F0640B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5900" w:type="dxa"/>
                        <w:tcBorders>
                          <w:top w:val="nil"/>
                          <w:left w:val="nil"/>
                          <w:bottom w:val="single" w:color="auto" w:sz="4" w:space="0"/>
                          <w:right w:val="single" w:color="auto" w:sz="4" w:space="0"/>
                        </w:tcBorders>
                        <w:shd w:val="clear" w:color="auto" w:fill="auto"/>
                        <w:vAlign w:val="center"/>
                      </w:tcPr>
                      <w:p w14:paraId="68FE060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▲设备支持不低于16颗补光灯，支持远光灯、近光灯，当环境照度降低至一定值时，设备可自动开启补光灯补光，设备在白天、夜晚均应输出彩色视频图像。</w:t>
                        </w:r>
                      </w:p>
                    </w:tc>
                  </w:tr>
                  <w:tr w14:paraId="7A88523A">
                    <w:tblPrEx>
                      <w:tblCellMar>
                        <w:top w:w="0" w:type="dxa"/>
                        <w:left w:w="108" w:type="dxa"/>
                        <w:bottom w:w="0" w:type="dxa"/>
                        <w:right w:w="108" w:type="dxa"/>
                      </w:tblCellMar>
                    </w:tblPrEx>
                    <w:trPr>
                      <w:trHeight w:val="315"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6FDC74F5">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5900" w:type="dxa"/>
                        <w:tcBorders>
                          <w:top w:val="nil"/>
                          <w:left w:val="nil"/>
                          <w:bottom w:val="single" w:color="auto" w:sz="4" w:space="0"/>
                          <w:right w:val="single" w:color="auto" w:sz="4" w:space="0"/>
                        </w:tcBorders>
                        <w:shd w:val="clear" w:color="auto" w:fill="auto"/>
                        <w:vAlign w:val="center"/>
                      </w:tcPr>
                      <w:p w14:paraId="24544887">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▲镜头和补光灯分舱体左右布局，镜头舱体凸出补光平面。（需提供公安部检测机构出具的检测报告复印件证明，添加注明招标项目名称的水印，并加盖制造商投标专用章或公章）。</w:t>
                        </w:r>
                      </w:p>
                    </w:tc>
                  </w:tr>
                  <w:tr w14:paraId="0D9C1060">
                    <w:tblPrEx>
                      <w:tblCellMar>
                        <w:top w:w="0" w:type="dxa"/>
                        <w:left w:w="108" w:type="dxa"/>
                        <w:bottom w:w="0" w:type="dxa"/>
                        <w:right w:w="108" w:type="dxa"/>
                      </w:tblCellMar>
                    </w:tblPrEx>
                    <w:trPr>
                      <w:trHeight w:val="315"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329C3DD4">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5900" w:type="dxa"/>
                        <w:tcBorders>
                          <w:top w:val="nil"/>
                          <w:left w:val="nil"/>
                          <w:bottom w:val="single" w:color="auto" w:sz="4" w:space="0"/>
                          <w:right w:val="single" w:color="auto" w:sz="4" w:space="0"/>
                        </w:tcBorders>
                        <w:shd w:val="clear" w:color="auto" w:fill="auto"/>
                        <w:vAlign w:val="center"/>
                      </w:tcPr>
                      <w:p w14:paraId="015994A8">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支持输出2560×1440@25fps主码流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内置CPU/GPU/NPU智能算法芯片。支持GB35114 A级安全加密，GB28181、GA1400标准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支持实时定位功能，支持北斗定位模式，可在监控画面</w:t>
                        </w:r>
                        <w:r>
                          <w:rPr>
                            <w:rFonts w:hint="eastAsia" w:ascii="宋体" w:hAnsi="宋体" w:cs="宋体"/>
                            <w:color w:val="auto"/>
                            <w:kern w:val="0"/>
                            <w:sz w:val="21"/>
                            <w:szCs w:val="21"/>
                            <w:highlight w:val="none"/>
                            <w:lang w:eastAsia="zh-CN"/>
                          </w:rPr>
                          <w:t>按国标模式</w:t>
                        </w:r>
                        <w:r>
                          <w:rPr>
                            <w:rFonts w:hint="eastAsia" w:ascii="宋体" w:hAnsi="宋体" w:cs="宋体"/>
                            <w:color w:val="auto"/>
                            <w:kern w:val="0"/>
                            <w:sz w:val="21"/>
                            <w:szCs w:val="21"/>
                            <w:highlight w:val="none"/>
                          </w:rPr>
                          <w:t>叠加</w:t>
                        </w:r>
                        <w:r>
                          <w:rPr>
                            <w:rFonts w:hint="eastAsia" w:ascii="宋体" w:hAnsi="宋体" w:cs="宋体"/>
                            <w:color w:val="auto"/>
                            <w:kern w:val="0"/>
                            <w:sz w:val="21"/>
                            <w:szCs w:val="21"/>
                            <w:highlight w:val="none"/>
                            <w:lang w:val="en-US" w:eastAsia="zh-CN"/>
                          </w:rPr>
                          <w:t>OSD</w:t>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lang w:eastAsia="zh-CN"/>
                          </w:rPr>
                          <w:t>。</w:t>
                        </w:r>
                      </w:p>
                    </w:tc>
                  </w:tr>
                  <w:tr w14:paraId="4FF30845">
                    <w:tblPrEx>
                      <w:tblCellMar>
                        <w:top w:w="0" w:type="dxa"/>
                        <w:left w:w="108" w:type="dxa"/>
                        <w:bottom w:w="0" w:type="dxa"/>
                        <w:right w:w="108" w:type="dxa"/>
                      </w:tblCellMar>
                    </w:tblPrEx>
                    <w:trPr>
                      <w:trHeight w:val="620"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510923CF">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5900" w:type="dxa"/>
                        <w:tcBorders>
                          <w:top w:val="nil"/>
                          <w:left w:val="nil"/>
                          <w:bottom w:val="single" w:color="auto" w:sz="4" w:space="0"/>
                          <w:right w:val="single" w:color="auto" w:sz="4" w:space="0"/>
                        </w:tcBorders>
                        <w:shd w:val="clear" w:color="auto" w:fill="auto"/>
                        <w:vAlign w:val="center"/>
                      </w:tcPr>
                      <w:p w14:paraId="7EA09F0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光源设计减少对蚊虫吸引，镜灯分离，减少蚊虫、蜘蛛对视窗画面的干扰；高分子涂层和圆润前盖，降低蜘蛛结网概率。</w:t>
                        </w:r>
                      </w:p>
                    </w:tc>
                  </w:tr>
                  <w:tr w14:paraId="01D46B91">
                    <w:tblPrEx>
                      <w:tblCellMar>
                        <w:top w:w="0" w:type="dxa"/>
                        <w:left w:w="108" w:type="dxa"/>
                        <w:bottom w:w="0" w:type="dxa"/>
                        <w:right w:w="108" w:type="dxa"/>
                      </w:tblCellMar>
                    </w:tblPrEx>
                    <w:trPr>
                      <w:trHeight w:val="393"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2D9FA8DB">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5900" w:type="dxa"/>
                        <w:tcBorders>
                          <w:top w:val="nil"/>
                          <w:left w:val="nil"/>
                          <w:bottom w:val="single" w:color="auto" w:sz="4" w:space="0"/>
                          <w:right w:val="single" w:color="auto" w:sz="4" w:space="0"/>
                        </w:tcBorders>
                        <w:shd w:val="clear" w:color="auto" w:fill="auto"/>
                        <w:vAlign w:val="center"/>
                      </w:tcPr>
                      <w:p w14:paraId="5570754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支持对出现在监控场景内的两眼瞳距不小于40像素的人脸进行检测</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支持侧脸过滤功能，可过滤上下、左右倾斜角度超过预设值的人脸</w:t>
                        </w:r>
                      </w:p>
                    </w:tc>
                  </w:tr>
                  <w:tr w14:paraId="3FB61E05">
                    <w:tblPrEx>
                      <w:tblCellMar>
                        <w:top w:w="0" w:type="dxa"/>
                        <w:left w:w="108" w:type="dxa"/>
                        <w:bottom w:w="0" w:type="dxa"/>
                        <w:right w:w="108" w:type="dxa"/>
                      </w:tblCellMar>
                    </w:tblPrEx>
                    <w:trPr>
                      <w:trHeight w:val="620" w:hRule="atLeast"/>
                    </w:trPr>
                    <w:tc>
                      <w:tcPr>
                        <w:tcW w:w="339" w:type="dxa"/>
                        <w:tcBorders>
                          <w:top w:val="nil"/>
                          <w:left w:val="single" w:color="auto" w:sz="4" w:space="0"/>
                          <w:bottom w:val="single" w:color="auto" w:sz="4" w:space="0"/>
                          <w:right w:val="single" w:color="auto" w:sz="4" w:space="0"/>
                        </w:tcBorders>
                        <w:shd w:val="clear" w:color="auto" w:fill="auto"/>
                        <w:vAlign w:val="center"/>
                      </w:tcPr>
                      <w:p w14:paraId="3A6B1F7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5900" w:type="dxa"/>
                        <w:tcBorders>
                          <w:top w:val="nil"/>
                          <w:left w:val="nil"/>
                          <w:bottom w:val="single" w:color="auto" w:sz="4" w:space="0"/>
                          <w:right w:val="single" w:color="auto" w:sz="4" w:space="0"/>
                        </w:tcBorders>
                        <w:shd w:val="clear" w:color="auto" w:fill="auto"/>
                        <w:vAlign w:val="center"/>
                      </w:tcPr>
                      <w:p w14:paraId="17B92656">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内置1个麦克风，1个扬声器，支持1路报警输入，1路报警输出，1路音频输入，1路音频输出，1个定位模块，1个RS485接口，支持DC12V/POE供电。支持标准的512 GB Micro SD/Micro SDHC/Micro SDXC卡存储插槽。</w:t>
                        </w:r>
                      </w:p>
                    </w:tc>
                  </w:tr>
                </w:tbl>
                <w:p w14:paraId="563664A3">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i w:val="0"/>
                      <w:iCs w:val="0"/>
                      <w:color w:val="auto"/>
                      <w:sz w:val="20"/>
                      <w:szCs w:val="20"/>
                      <w:highlight w:val="none"/>
                      <w:u w:val="none"/>
                      <w:lang w:val="en-US" w:eastAsia="zh-CN"/>
                    </w:rPr>
                  </w:pPr>
                </w:p>
                <w:p w14:paraId="3A68B1DC">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i w:val="0"/>
                      <w:iCs w:val="0"/>
                      <w:color w:val="auto"/>
                      <w:sz w:val="20"/>
                      <w:szCs w:val="20"/>
                      <w:highlight w:val="none"/>
                      <w:u w:val="none"/>
                      <w:lang w:val="en-US" w:eastAsia="zh-CN"/>
                    </w:rPr>
                  </w:pPr>
                </w:p>
              </w:tc>
            </w:tr>
            <w:tr w14:paraId="3041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dxa"/>
                  <w:vAlign w:val="center"/>
                </w:tcPr>
                <w:p w14:paraId="49747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b/>
                      <w:bCs/>
                      <w:color w:val="auto"/>
                      <w:highlight w:val="none"/>
                      <w:vertAlign w:val="baseline"/>
                      <w:lang w:eastAsia="zh-CN"/>
                    </w:rPr>
                  </w:pPr>
                  <w:r>
                    <w:rPr>
                      <w:rFonts w:hint="eastAsia" w:ascii="宋体" w:hAnsi="宋体" w:cs="宋体"/>
                      <w:i w:val="0"/>
                      <w:iCs w:val="0"/>
                      <w:color w:val="auto"/>
                      <w:kern w:val="0"/>
                      <w:sz w:val="22"/>
                      <w:szCs w:val="22"/>
                      <w:highlight w:val="none"/>
                      <w:u w:val="none"/>
                      <w:lang w:val="en-US" w:eastAsia="zh-CN" w:bidi="ar"/>
                    </w:rPr>
                    <w:t>3</w:t>
                  </w:r>
                </w:p>
              </w:tc>
              <w:tc>
                <w:tcPr>
                  <w:tcW w:w="904" w:type="dxa"/>
                  <w:vAlign w:val="center"/>
                </w:tcPr>
                <w:p w14:paraId="77CAA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6944" w:type="dxa"/>
                  <w:vAlign w:val="center"/>
                </w:tcPr>
                <w:p w14:paraId="3187A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b/>
                      <w:bCs/>
                      <w:color w:val="auto"/>
                      <w:highlight w:val="none"/>
                      <w:vertAlign w:val="baseline"/>
                      <w:lang w:eastAsia="zh-CN"/>
                    </w:rPr>
                  </w:pPr>
                </w:p>
                <w:tbl>
                  <w:tblPr>
                    <w:tblStyle w:val="8"/>
                    <w:tblW w:w="4877" w:type="pct"/>
                    <w:jc w:val="center"/>
                    <w:tblLayout w:type="fixed"/>
                    <w:tblCellMar>
                      <w:top w:w="0" w:type="dxa"/>
                      <w:left w:w="108" w:type="dxa"/>
                      <w:bottom w:w="0" w:type="dxa"/>
                      <w:right w:w="108" w:type="dxa"/>
                    </w:tblCellMar>
                  </w:tblPr>
                  <w:tblGrid>
                    <w:gridCol w:w="654"/>
                    <w:gridCol w:w="5908"/>
                  </w:tblGrid>
                  <w:tr w14:paraId="4C2B9C16">
                    <w:tblPrEx>
                      <w:tblCellMar>
                        <w:top w:w="0" w:type="dxa"/>
                        <w:left w:w="108" w:type="dxa"/>
                        <w:bottom w:w="0" w:type="dxa"/>
                        <w:right w:w="108" w:type="dxa"/>
                      </w:tblCellMar>
                    </w:tblPrEx>
                    <w:trPr>
                      <w:trHeight w:val="761" w:hRule="atLeast"/>
                      <w:jc w:val="center"/>
                    </w:trPr>
                    <w:tc>
                      <w:tcPr>
                        <w:tcW w:w="498" w:type="pct"/>
                        <w:tcBorders>
                          <w:top w:val="single" w:color="auto" w:sz="4" w:space="0"/>
                          <w:left w:val="single" w:color="auto" w:sz="4" w:space="0"/>
                          <w:bottom w:val="single" w:color="auto" w:sz="4" w:space="0"/>
                          <w:right w:val="single" w:color="auto" w:sz="4" w:space="0"/>
                        </w:tcBorders>
                        <w:noWrap/>
                        <w:vAlign w:val="center"/>
                      </w:tcPr>
                      <w:p w14:paraId="2CDC115C">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序号</w:t>
                        </w:r>
                      </w:p>
                    </w:tc>
                    <w:tc>
                      <w:tcPr>
                        <w:tcW w:w="4501" w:type="pct"/>
                        <w:tcBorders>
                          <w:top w:val="single" w:color="auto" w:sz="4" w:space="0"/>
                          <w:left w:val="nil"/>
                          <w:bottom w:val="single" w:color="auto" w:sz="4" w:space="0"/>
                          <w:right w:val="single" w:color="auto" w:sz="4" w:space="0"/>
                        </w:tcBorders>
                        <w:vAlign w:val="center"/>
                      </w:tcPr>
                      <w:p w14:paraId="2328EBC5">
                        <w:pPr>
                          <w:spacing w:before="120" w:after="120"/>
                          <w:jc w:val="center"/>
                          <w:rPr>
                            <w:rFonts w:ascii="等线" w:hAnsi="等线" w:eastAsia="等线" w:cs="宋体"/>
                            <w:color w:val="auto"/>
                            <w:highlight w:val="none"/>
                          </w:rPr>
                        </w:pPr>
                        <w:r>
                          <w:rPr>
                            <w:rFonts w:hint="eastAsia" w:ascii="宋体" w:hAnsi="宋体" w:cs="宋体"/>
                            <w:b/>
                            <w:bCs/>
                            <w:color w:val="auto"/>
                            <w:kern w:val="0"/>
                            <w:sz w:val="21"/>
                            <w:szCs w:val="21"/>
                            <w:highlight w:val="none"/>
                          </w:rPr>
                          <w:t>技术功能需求</w:t>
                        </w:r>
                      </w:p>
                    </w:tc>
                  </w:tr>
                  <w:tr w14:paraId="00776B61">
                    <w:tblPrEx>
                      <w:tblCellMar>
                        <w:top w:w="0" w:type="dxa"/>
                        <w:left w:w="108" w:type="dxa"/>
                        <w:bottom w:w="0" w:type="dxa"/>
                        <w:right w:w="108" w:type="dxa"/>
                      </w:tblCellMar>
                    </w:tblPrEx>
                    <w:trPr>
                      <w:trHeight w:val="483" w:hRule="atLeast"/>
                      <w:jc w:val="center"/>
                    </w:trPr>
                    <w:tc>
                      <w:tcPr>
                        <w:tcW w:w="498" w:type="pct"/>
                        <w:tcBorders>
                          <w:top w:val="nil"/>
                          <w:left w:val="single" w:color="auto" w:sz="4" w:space="0"/>
                          <w:bottom w:val="single" w:color="auto" w:sz="4" w:space="0"/>
                          <w:right w:val="single" w:color="auto" w:sz="4" w:space="0"/>
                        </w:tcBorders>
                        <w:noWrap/>
                        <w:vAlign w:val="center"/>
                      </w:tcPr>
                      <w:p w14:paraId="2D23F3F5">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p>
                    </w:tc>
                    <w:tc>
                      <w:tcPr>
                        <w:tcW w:w="4501" w:type="pct"/>
                        <w:tcBorders>
                          <w:top w:val="nil"/>
                          <w:left w:val="nil"/>
                          <w:bottom w:val="single" w:color="auto" w:sz="4" w:space="0"/>
                          <w:right w:val="single" w:color="auto" w:sz="4" w:space="0"/>
                        </w:tcBorders>
                        <w:vAlign w:val="center"/>
                      </w:tcPr>
                      <w:p w14:paraId="31D13BD6">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存储系统支持与视频监控平台、虚拟化平台对接；一套存储系统支持同时给多个视频监控平台系统提供服务，可提供视频监控业务，具备容错处理能力。</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64E2BD5B">
                    <w:tblPrEx>
                      <w:tblCellMar>
                        <w:top w:w="0" w:type="dxa"/>
                        <w:left w:w="108" w:type="dxa"/>
                        <w:bottom w:w="0" w:type="dxa"/>
                        <w:right w:w="108" w:type="dxa"/>
                      </w:tblCellMar>
                    </w:tblPrEx>
                    <w:trPr>
                      <w:trHeight w:val="246" w:hRule="atLeast"/>
                      <w:jc w:val="center"/>
                    </w:trPr>
                    <w:tc>
                      <w:tcPr>
                        <w:tcW w:w="498" w:type="pct"/>
                        <w:tcBorders>
                          <w:top w:val="nil"/>
                          <w:left w:val="single" w:color="auto" w:sz="4" w:space="0"/>
                          <w:bottom w:val="single" w:color="auto" w:sz="4" w:space="0"/>
                          <w:right w:val="single" w:color="auto" w:sz="4" w:space="0"/>
                        </w:tcBorders>
                        <w:noWrap/>
                        <w:vAlign w:val="center"/>
                      </w:tcPr>
                      <w:p w14:paraId="54A52F88">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p>
                    </w:tc>
                    <w:tc>
                      <w:tcPr>
                        <w:tcW w:w="4501" w:type="pct"/>
                        <w:tcBorders>
                          <w:top w:val="nil"/>
                          <w:left w:val="nil"/>
                          <w:bottom w:val="single" w:color="auto" w:sz="4" w:space="0"/>
                          <w:right w:val="single" w:color="auto" w:sz="4" w:space="0"/>
                        </w:tcBorders>
                        <w:vAlign w:val="center"/>
                      </w:tcPr>
                      <w:p w14:paraId="2E4AA247">
                        <w:pPr>
                          <w:widowControl/>
                          <w:snapToGrid w:val="0"/>
                          <w:jc w:val="left"/>
                          <w:rPr>
                            <w:rFonts w:ascii="宋体" w:hAnsi="宋体"/>
                            <w:color w:val="auto"/>
                            <w:sz w:val="21"/>
                            <w:szCs w:val="21"/>
                            <w:highlight w:val="none"/>
                          </w:rPr>
                        </w:pPr>
                        <w:r>
                          <w:rPr>
                            <w:rFonts w:hint="eastAsia"/>
                            <w:color w:val="auto"/>
                            <w:sz w:val="21"/>
                            <w:highlight w:val="none"/>
                          </w:rPr>
                          <w:t>▲</w:t>
                        </w:r>
                        <w:r>
                          <w:rPr>
                            <w:rFonts w:hint="eastAsia" w:ascii="宋体" w:hAnsi="宋体"/>
                            <w:color w:val="auto"/>
                            <w:sz w:val="21"/>
                            <w:szCs w:val="21"/>
                            <w:highlight w:val="none"/>
                          </w:rPr>
                          <w:t>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r>
                          <w:rPr>
                            <w:rFonts w:ascii="宋体" w:hAnsi="宋体"/>
                            <w:color w:val="auto"/>
                            <w:sz w:val="21"/>
                            <w:szCs w:val="21"/>
                            <w:highlight w:val="none"/>
                          </w:rPr>
                          <w:t xml:space="preserve"> </w:t>
                        </w:r>
                      </w:p>
                    </w:tc>
                  </w:tr>
                  <w:tr w14:paraId="171D5426">
                    <w:tblPrEx>
                      <w:tblCellMar>
                        <w:top w:w="0" w:type="dxa"/>
                        <w:left w:w="108" w:type="dxa"/>
                        <w:bottom w:w="0" w:type="dxa"/>
                        <w:right w:w="108" w:type="dxa"/>
                      </w:tblCellMar>
                    </w:tblPrEx>
                    <w:trPr>
                      <w:trHeight w:val="483" w:hRule="atLeast"/>
                      <w:jc w:val="center"/>
                    </w:trPr>
                    <w:tc>
                      <w:tcPr>
                        <w:tcW w:w="498" w:type="pct"/>
                        <w:tcBorders>
                          <w:top w:val="nil"/>
                          <w:left w:val="single" w:color="auto" w:sz="4" w:space="0"/>
                          <w:bottom w:val="single" w:color="auto" w:sz="4" w:space="0"/>
                          <w:right w:val="single" w:color="auto" w:sz="4" w:space="0"/>
                        </w:tcBorders>
                        <w:noWrap/>
                        <w:vAlign w:val="center"/>
                      </w:tcPr>
                      <w:p w14:paraId="24199912">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p>
                    </w:tc>
                    <w:tc>
                      <w:tcPr>
                        <w:tcW w:w="4501" w:type="pct"/>
                        <w:tcBorders>
                          <w:top w:val="nil"/>
                          <w:left w:val="nil"/>
                          <w:bottom w:val="single" w:color="auto" w:sz="4" w:space="0"/>
                          <w:right w:val="single" w:color="auto" w:sz="4" w:space="0"/>
                        </w:tcBorders>
                        <w:vAlign w:val="center"/>
                      </w:tcPr>
                      <w:p w14:paraId="40F1A22D">
                        <w:pPr>
                          <w:widowControl/>
                          <w:snapToGrid w:val="0"/>
                          <w:jc w:val="left"/>
                          <w:rPr>
                            <w:rFonts w:hint="eastAsia" w:ascii="宋体" w:hAnsi="宋体" w:eastAsia="宋体"/>
                            <w:color w:val="auto"/>
                            <w:sz w:val="21"/>
                            <w:szCs w:val="21"/>
                            <w:highlight w:val="none"/>
                            <w:lang w:eastAsia="zh-CN"/>
                          </w:rPr>
                        </w:pPr>
                        <w:r>
                          <w:rPr>
                            <w:rFonts w:hint="eastAsia"/>
                            <w:color w:val="auto"/>
                            <w:sz w:val="21"/>
                            <w:highlight w:val="none"/>
                          </w:rPr>
                          <w:t>▲</w:t>
                        </w:r>
                        <w:r>
                          <w:rPr>
                            <w:rFonts w:hint="eastAsia" w:ascii="宋体" w:hAnsi="宋体"/>
                            <w:color w:val="auto"/>
                            <w:sz w:val="21"/>
                            <w:szCs w:val="21"/>
                            <w:highlight w:val="none"/>
                          </w:rPr>
                          <w:t>管理平台支持对关键程序、关键数据采取备份、冗余措施，具备容错和系统恢复能力，支持对管理平台整体性能有影响的关键设备进行负载均衡；支持管理服务数据备份故障恢复，每隔至少15分钟备份一次，支持历史数据自动清理，数据清理不影响业务运行；</w:t>
                        </w:r>
                        <w:r>
                          <w:rPr>
                            <w:rFonts w:hint="eastAsia" w:ascii="宋体" w:hAnsi="宋体" w:cs="宋体"/>
                            <w:color w:val="auto"/>
                            <w:kern w:val="0"/>
                            <w:sz w:val="21"/>
                            <w:szCs w:val="21"/>
                            <w:highlight w:val="none"/>
                          </w:rPr>
                          <w:t>（需提供公安部检测机构出具的检测报告复印件证明，添加注明招标项目名称的水印，并加盖制造商投标专用章或公章）</w:t>
                        </w:r>
                        <w:r>
                          <w:rPr>
                            <w:rFonts w:hint="eastAsia" w:ascii="宋体" w:hAnsi="宋体"/>
                            <w:color w:val="auto"/>
                            <w:sz w:val="21"/>
                            <w:szCs w:val="21"/>
                            <w:highlight w:val="none"/>
                            <w:lang w:eastAsia="zh-CN"/>
                          </w:rPr>
                          <w:t>。</w:t>
                        </w:r>
                      </w:p>
                    </w:tc>
                  </w:tr>
                  <w:tr w14:paraId="1EEA0178">
                    <w:tblPrEx>
                      <w:tblCellMar>
                        <w:top w:w="0" w:type="dxa"/>
                        <w:left w:w="108" w:type="dxa"/>
                        <w:bottom w:w="0" w:type="dxa"/>
                        <w:right w:w="108" w:type="dxa"/>
                      </w:tblCellMar>
                    </w:tblPrEx>
                    <w:trPr>
                      <w:trHeight w:val="720" w:hRule="atLeast"/>
                      <w:jc w:val="center"/>
                    </w:trPr>
                    <w:tc>
                      <w:tcPr>
                        <w:tcW w:w="498" w:type="pct"/>
                        <w:tcBorders>
                          <w:top w:val="nil"/>
                          <w:left w:val="single" w:color="auto" w:sz="4" w:space="0"/>
                          <w:bottom w:val="single" w:color="auto" w:sz="4" w:space="0"/>
                          <w:right w:val="single" w:color="auto" w:sz="4" w:space="0"/>
                        </w:tcBorders>
                        <w:noWrap/>
                        <w:vAlign w:val="center"/>
                      </w:tcPr>
                      <w:p w14:paraId="705F9C1F">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p>
                    </w:tc>
                    <w:tc>
                      <w:tcPr>
                        <w:tcW w:w="4501" w:type="pct"/>
                        <w:tcBorders>
                          <w:top w:val="nil"/>
                          <w:left w:val="nil"/>
                          <w:bottom w:val="single" w:color="auto" w:sz="4" w:space="0"/>
                          <w:right w:val="single" w:color="auto" w:sz="4" w:space="0"/>
                        </w:tcBorders>
                        <w:vAlign w:val="center"/>
                      </w:tcPr>
                      <w:p w14:paraId="300373F8">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具有≥</w:t>
                        </w:r>
                        <w:r>
                          <w:rPr>
                            <w:rFonts w:ascii="宋体" w:hAnsi="宋体"/>
                            <w:color w:val="auto"/>
                            <w:sz w:val="21"/>
                            <w:szCs w:val="21"/>
                            <w:highlight w:val="none"/>
                          </w:rPr>
                          <w:t>48</w:t>
                        </w:r>
                        <w:r>
                          <w:rPr>
                            <w:rFonts w:hint="eastAsia" w:ascii="宋体" w:hAnsi="宋体"/>
                            <w:color w:val="auto"/>
                            <w:sz w:val="21"/>
                            <w:szCs w:val="21"/>
                            <w:highlight w:val="none"/>
                          </w:rPr>
                          <w:t>块硬盘热插拔插槽；支持硬盘热插拔设备在读写数据时，热插拔设备内的任意块硬盘，设备正常运行不宕机，硬盘不损坏，数据不丢失，业务不中断。具备数据自愈功能。当硬盘损坏后，系统自动进行数据恢复，保证数据不丢失，业务不中断</w:t>
                        </w:r>
                      </w:p>
                    </w:tc>
                  </w:tr>
                  <w:tr w14:paraId="69063E42">
                    <w:tblPrEx>
                      <w:tblCellMar>
                        <w:top w:w="0" w:type="dxa"/>
                        <w:left w:w="108" w:type="dxa"/>
                        <w:bottom w:w="0" w:type="dxa"/>
                        <w:right w:w="108" w:type="dxa"/>
                      </w:tblCellMar>
                    </w:tblPrEx>
                    <w:trPr>
                      <w:trHeight w:val="1102" w:hRule="atLeast"/>
                      <w:jc w:val="center"/>
                    </w:trPr>
                    <w:tc>
                      <w:tcPr>
                        <w:tcW w:w="498" w:type="pct"/>
                        <w:tcBorders>
                          <w:top w:val="nil"/>
                          <w:left w:val="single" w:color="auto" w:sz="4" w:space="0"/>
                          <w:bottom w:val="single" w:color="auto" w:sz="4" w:space="0"/>
                          <w:right w:val="single" w:color="auto" w:sz="4" w:space="0"/>
                        </w:tcBorders>
                        <w:noWrap/>
                        <w:vAlign w:val="center"/>
                      </w:tcPr>
                      <w:p w14:paraId="39AB2974">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p>
                    </w:tc>
                    <w:tc>
                      <w:tcPr>
                        <w:tcW w:w="4501" w:type="pct"/>
                        <w:tcBorders>
                          <w:top w:val="nil"/>
                          <w:left w:val="nil"/>
                          <w:bottom w:val="single" w:color="auto" w:sz="4" w:space="0"/>
                          <w:right w:val="single" w:color="auto" w:sz="4" w:space="0"/>
                        </w:tcBorders>
                        <w:vAlign w:val="center"/>
                      </w:tcPr>
                      <w:p w14:paraId="687030CB">
                        <w:pPr>
                          <w:widowControl/>
                          <w:snapToGrid w:val="0"/>
                          <w:jc w:val="left"/>
                          <w:rPr>
                            <w:color w:val="auto"/>
                            <w:sz w:val="21"/>
                            <w:highlight w:val="none"/>
                          </w:rPr>
                        </w:pPr>
                        <w:r>
                          <w:rPr>
                            <w:rFonts w:hint="eastAsia" w:ascii="宋体" w:hAnsi="宋体"/>
                            <w:color w:val="auto"/>
                            <w:sz w:val="21"/>
                            <w:szCs w:val="21"/>
                            <w:highlight w:val="none"/>
                          </w:rPr>
                          <w:t>配置：≥1颗64位多核处理器，≥16GB内存，内存支持扩展，内置不低于240GB SSD固态硬盘</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支持GB/T28181、GA/T1400、Onvif、RTSP、H265等标准协议。</w:t>
                        </w:r>
                      </w:p>
                    </w:tc>
                  </w:tr>
                  <w:tr w14:paraId="6F6B327E">
                    <w:tblPrEx>
                      <w:tblCellMar>
                        <w:top w:w="0" w:type="dxa"/>
                        <w:left w:w="108" w:type="dxa"/>
                        <w:bottom w:w="0" w:type="dxa"/>
                        <w:right w:w="108" w:type="dxa"/>
                      </w:tblCellMar>
                    </w:tblPrEx>
                    <w:trPr>
                      <w:trHeight w:val="853" w:hRule="atLeast"/>
                      <w:jc w:val="center"/>
                    </w:trPr>
                    <w:tc>
                      <w:tcPr>
                        <w:tcW w:w="498" w:type="pct"/>
                        <w:tcBorders>
                          <w:top w:val="nil"/>
                          <w:left w:val="single" w:color="auto" w:sz="4" w:space="0"/>
                          <w:bottom w:val="single" w:color="auto" w:sz="4" w:space="0"/>
                          <w:right w:val="single" w:color="auto" w:sz="4" w:space="0"/>
                        </w:tcBorders>
                        <w:noWrap/>
                        <w:vAlign w:val="center"/>
                      </w:tcPr>
                      <w:p w14:paraId="41BF5350">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p>
                    </w:tc>
                    <w:tc>
                      <w:tcPr>
                        <w:tcW w:w="4501" w:type="pct"/>
                        <w:tcBorders>
                          <w:top w:val="nil"/>
                          <w:left w:val="nil"/>
                          <w:bottom w:val="single" w:color="auto" w:sz="4" w:space="0"/>
                          <w:right w:val="single" w:color="auto" w:sz="4" w:space="0"/>
                        </w:tcBorders>
                        <w:vAlign w:val="center"/>
                      </w:tcPr>
                      <w:p w14:paraId="773FA18A">
                        <w:pPr>
                          <w:widowControl/>
                          <w:snapToGrid w:val="0"/>
                          <w:jc w:val="left"/>
                          <w:rPr>
                            <w:rFonts w:ascii="宋体" w:hAnsi="宋体"/>
                            <w:color w:val="auto"/>
                            <w:sz w:val="21"/>
                            <w:szCs w:val="21"/>
                            <w:highlight w:val="none"/>
                          </w:rPr>
                        </w:pPr>
                        <w:r>
                          <w:rPr>
                            <w:rFonts w:hint="eastAsia" w:ascii="宋体" w:hAnsi="宋体"/>
                            <w:color w:val="auto"/>
                            <w:sz w:val="21"/>
                            <w:szCs w:val="21"/>
                            <w:highlight w:val="none"/>
                          </w:rPr>
                          <w:t>支持1+1冗余电源供电，额定功耗≤</w:t>
                        </w:r>
                        <w:r>
                          <w:rPr>
                            <w:rFonts w:ascii="宋体" w:hAnsi="宋体"/>
                            <w:color w:val="auto"/>
                            <w:sz w:val="21"/>
                            <w:szCs w:val="21"/>
                            <w:highlight w:val="none"/>
                          </w:rPr>
                          <w:t>120</w:t>
                        </w:r>
                        <w:r>
                          <w:rPr>
                            <w:rFonts w:hint="eastAsia" w:ascii="宋体" w:hAnsi="宋体"/>
                            <w:color w:val="auto"/>
                            <w:sz w:val="21"/>
                            <w:szCs w:val="21"/>
                            <w:highlight w:val="none"/>
                          </w:rPr>
                          <w:t>0W</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支撑8TB、16TB等SATA/SAS企业级硬盘、HDD硬盘、SSD硬盘</w:t>
                        </w:r>
                      </w:p>
                    </w:tc>
                  </w:tr>
                  <w:tr w14:paraId="6C657860">
                    <w:tblPrEx>
                      <w:tblCellMar>
                        <w:top w:w="0" w:type="dxa"/>
                        <w:left w:w="108" w:type="dxa"/>
                        <w:bottom w:w="0" w:type="dxa"/>
                        <w:right w:w="108" w:type="dxa"/>
                      </w:tblCellMar>
                    </w:tblPrEx>
                    <w:trPr>
                      <w:trHeight w:val="483" w:hRule="atLeast"/>
                      <w:jc w:val="center"/>
                    </w:trPr>
                    <w:tc>
                      <w:tcPr>
                        <w:tcW w:w="498" w:type="pct"/>
                        <w:tcBorders>
                          <w:top w:val="nil"/>
                          <w:left w:val="single" w:color="auto" w:sz="4" w:space="0"/>
                          <w:bottom w:val="single" w:color="auto" w:sz="4" w:space="0"/>
                          <w:right w:val="single" w:color="auto" w:sz="4" w:space="0"/>
                        </w:tcBorders>
                        <w:noWrap/>
                        <w:vAlign w:val="center"/>
                      </w:tcPr>
                      <w:p w14:paraId="00263E0D">
                        <w:pPr>
                          <w:pStyle w:val="12"/>
                          <w:widowControl/>
                          <w:numPr>
                            <w:ilvl w:val="0"/>
                            <w:numId w:val="0"/>
                          </w:numPr>
                          <w:snapToGrid w:val="0"/>
                          <w:ind w:left="0" w:firstLineChars="0"/>
                          <w:jc w:val="left"/>
                          <w:rPr>
                            <w:rFonts w:ascii="宋体" w:hAnsi="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p>
                    </w:tc>
                    <w:tc>
                      <w:tcPr>
                        <w:tcW w:w="4501" w:type="pct"/>
                        <w:tcBorders>
                          <w:top w:val="nil"/>
                          <w:left w:val="nil"/>
                          <w:bottom w:val="single" w:color="auto" w:sz="4" w:space="0"/>
                          <w:right w:val="single" w:color="auto" w:sz="4" w:space="0"/>
                        </w:tcBorders>
                        <w:vAlign w:val="center"/>
                      </w:tcPr>
                      <w:p w14:paraId="67F5997A">
                        <w:pPr>
                          <w:widowControl/>
                          <w:snapToGrid w:val="0"/>
                          <w:jc w:val="left"/>
                          <w:rPr>
                            <w:rFonts w:ascii="宋体" w:hAnsi="宋体"/>
                            <w:color w:val="auto"/>
                            <w:sz w:val="21"/>
                            <w:szCs w:val="21"/>
                            <w:highlight w:val="none"/>
                          </w:rPr>
                        </w:pPr>
                        <w:r>
                          <w:rPr>
                            <w:rFonts w:hint="eastAsia" w:ascii="宋体" w:hAnsi="宋体"/>
                            <w:color w:val="auto"/>
                            <w:sz w:val="21"/>
                            <w:szCs w:val="21"/>
                            <w:highlight w:val="none"/>
                            <w:lang w:eastAsia="zh-CN"/>
                          </w:rPr>
                          <w:t>能和</w:t>
                        </w:r>
                        <w:r>
                          <w:rPr>
                            <w:rFonts w:hint="eastAsia" w:ascii="宋体" w:hAnsi="宋体"/>
                            <w:color w:val="auto"/>
                            <w:sz w:val="21"/>
                            <w:szCs w:val="21"/>
                            <w:highlight w:val="none"/>
                            <w:lang w:val="en-US" w:eastAsia="zh-CN"/>
                          </w:rPr>
                          <w:t>采购人</w:t>
                        </w:r>
                        <w:r>
                          <w:rPr>
                            <w:rFonts w:hint="eastAsia" w:ascii="宋体" w:hAnsi="宋体"/>
                            <w:color w:val="auto"/>
                            <w:sz w:val="21"/>
                            <w:szCs w:val="21"/>
                            <w:highlight w:val="none"/>
                            <w:lang w:eastAsia="zh-CN"/>
                          </w:rPr>
                          <w:t>现有视频平台和</w:t>
                        </w:r>
                        <w:r>
                          <w:rPr>
                            <w:rFonts w:hint="eastAsia" w:ascii="宋体" w:hAnsi="宋体"/>
                            <w:color w:val="auto"/>
                            <w:sz w:val="21"/>
                            <w:szCs w:val="21"/>
                            <w:highlight w:val="none"/>
                            <w:lang w:val="en-US" w:eastAsia="zh-CN"/>
                          </w:rPr>
                          <w:t>中山市公安</w:t>
                        </w:r>
                        <w:r>
                          <w:rPr>
                            <w:rFonts w:hint="eastAsia" w:ascii="宋体" w:hAnsi="宋体"/>
                            <w:color w:val="auto"/>
                            <w:sz w:val="21"/>
                            <w:szCs w:val="21"/>
                            <w:highlight w:val="none"/>
                            <w:lang w:eastAsia="zh-CN"/>
                          </w:rPr>
                          <w:t>局视频平台无缝对接。</w:t>
                        </w:r>
                      </w:p>
                    </w:tc>
                  </w:tr>
                </w:tbl>
                <w:p w14:paraId="20804D1D">
                  <w:pPr>
                    <w:pStyle w:val="4"/>
                    <w:rPr>
                      <w:rFonts w:hint="eastAsia"/>
                      <w:b/>
                      <w:bCs/>
                      <w:color w:val="auto"/>
                      <w:highlight w:val="none"/>
                      <w:vertAlign w:val="baseline"/>
                      <w:lang w:eastAsia="zh-CN"/>
                    </w:rPr>
                  </w:pPr>
                </w:p>
              </w:tc>
            </w:tr>
            <w:tr w14:paraId="7014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dxa"/>
                  <w:shd w:val="clear" w:color="auto" w:fill="auto"/>
                  <w:vAlign w:val="center"/>
                </w:tcPr>
                <w:p w14:paraId="5C7AC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4</w:t>
                  </w:r>
                </w:p>
              </w:tc>
              <w:tc>
                <w:tcPr>
                  <w:tcW w:w="904" w:type="dxa"/>
                  <w:shd w:val="clear" w:color="auto" w:fill="FFFFFF"/>
                  <w:vAlign w:val="center"/>
                </w:tcPr>
                <w:p w14:paraId="6B972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6944" w:type="dxa"/>
                  <w:shd w:val="clear" w:color="auto" w:fill="FFFFFF"/>
                  <w:vAlign w:val="center"/>
                </w:tcPr>
                <w:p w14:paraId="405094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不少于</w:t>
                  </w:r>
                  <w:r>
                    <w:rPr>
                      <w:rFonts w:hint="eastAsia" w:ascii="宋体" w:hAnsi="宋体" w:eastAsia="宋体" w:cs="宋体"/>
                      <w:i w:val="0"/>
                      <w:iCs w:val="0"/>
                      <w:color w:val="auto"/>
                      <w:kern w:val="0"/>
                      <w:sz w:val="20"/>
                      <w:szCs w:val="20"/>
                      <w:highlight w:val="none"/>
                      <w:u w:val="none"/>
                      <w:lang w:val="en-US" w:eastAsia="zh-CN" w:bidi="ar"/>
                    </w:rPr>
                    <w:t>8TB容量，3.5英寸，SATA3.0接口，7200RPM</w:t>
                  </w:r>
                </w:p>
              </w:tc>
            </w:tr>
            <w:tr w14:paraId="4F8D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8" w:type="dxa"/>
                  <w:shd w:val="clear" w:color="auto" w:fill="auto"/>
                  <w:vAlign w:val="center"/>
                </w:tcPr>
                <w:p w14:paraId="55C41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5</w:t>
                  </w:r>
                </w:p>
              </w:tc>
              <w:tc>
                <w:tcPr>
                  <w:tcW w:w="904" w:type="dxa"/>
                  <w:shd w:val="clear" w:color="auto" w:fill="FFFFFF"/>
                  <w:vAlign w:val="center"/>
                </w:tcPr>
                <w:p w14:paraId="4CE5D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电</w:t>
                  </w:r>
                  <w:r>
                    <w:rPr>
                      <w:rFonts w:hint="eastAsia" w:ascii="宋体" w:hAnsi="宋体" w:cs="宋体"/>
                      <w:i w:val="0"/>
                      <w:iCs w:val="0"/>
                      <w:color w:val="auto"/>
                      <w:kern w:val="0"/>
                      <w:sz w:val="20"/>
                      <w:szCs w:val="20"/>
                      <w:highlight w:val="none"/>
                      <w:u w:val="none"/>
                      <w:lang w:val="en-US" w:eastAsia="zh-CN" w:bidi="ar"/>
                    </w:rPr>
                    <w:t>箱</w:t>
                  </w:r>
                </w:p>
              </w:tc>
              <w:tc>
                <w:tcPr>
                  <w:tcW w:w="6944" w:type="dxa"/>
                  <w:shd w:val="clear" w:color="auto" w:fill="FFFFFF"/>
                  <w:vAlign w:val="center"/>
                </w:tcPr>
                <w:p w14:paraId="17C8C1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olor w:val="auto"/>
                      <w:sz w:val="21"/>
                      <w:szCs w:val="21"/>
                      <w:highlight w:val="none"/>
                      <w:lang w:val="en-US" w:eastAsia="zh-CN"/>
                    </w:rPr>
                    <w:t>不锈钢304材质喷涂公安标识及箱体编号，尺寸（含防雨帽 450宽＊600高＊350深mm（长宽高±50mm)（中型隔板）</w:t>
                  </w:r>
                </w:p>
              </w:tc>
            </w:tr>
            <w:tr w14:paraId="3C62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dxa"/>
                  <w:shd w:val="clear" w:color="auto" w:fill="auto"/>
                  <w:vAlign w:val="center"/>
                </w:tcPr>
                <w:p w14:paraId="5BA94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6</w:t>
                  </w:r>
                </w:p>
              </w:tc>
              <w:tc>
                <w:tcPr>
                  <w:tcW w:w="904" w:type="dxa"/>
                  <w:shd w:val="clear" w:color="auto" w:fill="FFFFFF"/>
                  <w:vAlign w:val="center"/>
                </w:tcPr>
                <w:p w14:paraId="4802C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视频交换器</w:t>
                  </w:r>
                </w:p>
              </w:tc>
              <w:tc>
                <w:tcPr>
                  <w:tcW w:w="6944" w:type="dxa"/>
                  <w:shd w:val="clear" w:color="auto" w:fill="FFFFFF"/>
                  <w:vAlign w:val="center"/>
                </w:tcPr>
                <w:p w14:paraId="284356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1、工作组级</w:t>
                  </w:r>
                  <w:r>
                    <w:rPr>
                      <w:rFonts w:hint="eastAsia" w:ascii="宋体" w:hAnsi="宋体" w:cs="宋体"/>
                      <w:i w:val="0"/>
                      <w:iCs w:val="0"/>
                      <w:color w:val="auto"/>
                      <w:kern w:val="0"/>
                      <w:sz w:val="20"/>
                      <w:szCs w:val="20"/>
                      <w:highlight w:val="none"/>
                      <w:u w:val="none"/>
                      <w:lang w:val="en-US" w:eastAsia="zh-CN" w:bidi="ar"/>
                    </w:rPr>
                    <w:t>视频交换器</w:t>
                  </w:r>
                  <w:r>
                    <w:rPr>
                      <w:rFonts w:hint="eastAsia" w:ascii="宋体" w:hAnsi="宋体" w:eastAsia="宋体" w:cs="宋体"/>
                      <w:i w:val="0"/>
                      <w:iCs w:val="0"/>
                      <w:color w:val="auto"/>
                      <w:kern w:val="0"/>
                      <w:sz w:val="20"/>
                      <w:szCs w:val="20"/>
                      <w:highlight w:val="none"/>
                      <w:u w:val="none"/>
                      <w:lang w:val="en-US" w:eastAsia="zh-CN" w:bidi="ar"/>
                    </w:rPr>
                    <w:t>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2、局域网</w:t>
                  </w:r>
                  <w:r>
                    <w:rPr>
                      <w:rFonts w:hint="eastAsia" w:ascii="宋体" w:hAnsi="宋体" w:cs="宋体"/>
                      <w:i w:val="0"/>
                      <w:iCs w:val="0"/>
                      <w:color w:val="auto"/>
                      <w:kern w:val="0"/>
                      <w:sz w:val="20"/>
                      <w:szCs w:val="20"/>
                      <w:highlight w:val="none"/>
                      <w:u w:val="none"/>
                      <w:lang w:val="en-US" w:eastAsia="zh-CN" w:bidi="ar"/>
                    </w:rPr>
                    <w:t>视频交换器</w:t>
                  </w:r>
                  <w:r>
                    <w:rPr>
                      <w:rFonts w:hint="eastAsia" w:ascii="宋体" w:hAnsi="宋体" w:eastAsia="宋体" w:cs="宋体"/>
                      <w:i w:val="0"/>
                      <w:iCs w:val="0"/>
                      <w:color w:val="auto"/>
                      <w:kern w:val="0"/>
                      <w:sz w:val="20"/>
                      <w:szCs w:val="20"/>
                      <w:highlight w:val="none"/>
                      <w:u w:val="none"/>
                      <w:lang w:val="en-US" w:eastAsia="zh-CN" w:bidi="ar"/>
                    </w:rPr>
                    <w:t>48口全千兆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3、满足本项目技术要求</w:t>
                  </w:r>
                </w:p>
              </w:tc>
            </w:tr>
          </w:tbl>
          <w:p w14:paraId="2EBF58FE">
            <w:pPr>
              <w:pStyle w:val="11"/>
              <w:numPr>
                <w:ilvl w:val="0"/>
                <w:numId w:val="0"/>
              </w:numPr>
              <w:jc w:val="both"/>
              <w:rPr>
                <w:rFonts w:hint="eastAsia"/>
                <w:b/>
                <w:bCs/>
                <w:color w:val="auto"/>
                <w:highlight w:val="none"/>
                <w:lang w:eastAsia="zh-CN"/>
              </w:rPr>
            </w:pPr>
          </w:p>
        </w:tc>
      </w:tr>
      <w:tr w14:paraId="0F988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5D451EA3">
            <w:pPr>
              <w:rPr>
                <w:color w:val="auto"/>
                <w:highlight w:val="none"/>
              </w:rPr>
            </w:pPr>
          </w:p>
        </w:tc>
        <w:tc>
          <w:tcPr>
            <w:tcW w:w="339" w:type="dxa"/>
          </w:tcPr>
          <w:p w14:paraId="72D9C9BC">
            <w:pPr>
              <w:pStyle w:val="11"/>
              <w:jc w:val="center"/>
              <w:rPr>
                <w:rFonts w:hint="default" w:eastAsia="宋体"/>
                <w:color w:val="auto"/>
                <w:highlight w:val="none"/>
                <w:lang w:val="en-US" w:eastAsia="zh-CN"/>
              </w:rPr>
            </w:pPr>
            <w:r>
              <w:rPr>
                <w:rFonts w:hint="eastAsia"/>
                <w:color w:val="auto"/>
                <w:highlight w:val="none"/>
                <w:lang w:val="en-US" w:eastAsia="zh-CN"/>
              </w:rPr>
              <w:t>3</w:t>
            </w:r>
          </w:p>
        </w:tc>
        <w:tc>
          <w:tcPr>
            <w:tcW w:w="8569" w:type="dxa"/>
          </w:tcPr>
          <w:p w14:paraId="0DF19A0D">
            <w:pPr>
              <w:pStyle w:val="11"/>
              <w:numPr>
                <w:ilvl w:val="0"/>
                <w:numId w:val="0"/>
              </w:numPr>
              <w:jc w:val="both"/>
              <w:rPr>
                <w:rFonts w:hint="eastAsia"/>
                <w:b/>
                <w:bCs/>
                <w:color w:val="auto"/>
                <w:highlight w:val="none"/>
                <w:lang w:eastAsia="zh-CN"/>
              </w:rPr>
            </w:pPr>
            <w:r>
              <w:rPr>
                <w:rFonts w:hint="eastAsia"/>
                <w:b/>
                <w:bCs/>
                <w:color w:val="auto"/>
                <w:highlight w:val="none"/>
                <w:lang w:eastAsia="zh-CN"/>
              </w:rPr>
              <w:t>三、设备维护内容</w:t>
            </w:r>
          </w:p>
          <w:tbl>
            <w:tblPr>
              <w:tblStyle w:val="9"/>
              <w:tblW w:w="8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5"/>
              <w:gridCol w:w="4344"/>
              <w:gridCol w:w="674"/>
              <w:gridCol w:w="947"/>
            </w:tblGrid>
            <w:tr w14:paraId="3929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27BC984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序号</w:t>
                  </w:r>
                </w:p>
              </w:tc>
              <w:tc>
                <w:tcPr>
                  <w:tcW w:w="1405" w:type="dxa"/>
                  <w:vAlign w:val="center"/>
                </w:tcPr>
                <w:p w14:paraId="5A7F82A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项目名称</w:t>
                  </w:r>
                </w:p>
              </w:tc>
              <w:tc>
                <w:tcPr>
                  <w:tcW w:w="4344" w:type="dxa"/>
                  <w:vAlign w:val="center"/>
                </w:tcPr>
                <w:p w14:paraId="6A46870B">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lang w:val="en-US" w:eastAsia="zh-CN"/>
                    </w:rPr>
                    <w:t>详细参数</w:t>
                  </w:r>
                </w:p>
              </w:tc>
              <w:tc>
                <w:tcPr>
                  <w:tcW w:w="674" w:type="dxa"/>
                  <w:vAlign w:val="center"/>
                </w:tcPr>
                <w:p w14:paraId="7103D10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计量</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单位</w:t>
                  </w:r>
                </w:p>
              </w:tc>
              <w:tc>
                <w:tcPr>
                  <w:tcW w:w="947" w:type="dxa"/>
                  <w:vAlign w:val="center"/>
                </w:tcPr>
                <w:p w14:paraId="7B55F6B2">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工程数量</w:t>
                  </w:r>
                </w:p>
              </w:tc>
            </w:tr>
            <w:tr w14:paraId="2EB4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4E68F5D8">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405" w:type="dxa"/>
                  <w:vAlign w:val="center"/>
                </w:tcPr>
                <w:p w14:paraId="0F0C34C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日常巡检</w:t>
                  </w:r>
                </w:p>
              </w:tc>
              <w:tc>
                <w:tcPr>
                  <w:tcW w:w="4344" w:type="dxa"/>
                  <w:vAlign w:val="center"/>
                </w:tcPr>
                <w:p w14:paraId="3A773F8B">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1、两天巡检一次，</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19427A7F">
                  <w:pPr>
                    <w:keepNext w:val="0"/>
                    <w:keepLines w:val="0"/>
                    <w:widowControl/>
                    <w:suppressLineNumbers w:val="0"/>
                    <w:jc w:val="center"/>
                    <w:textAlignment w:val="center"/>
                    <w:rPr>
                      <w:rFonts w:hint="eastAsia"/>
                      <w:b/>
                      <w:bCs/>
                      <w:color w:val="auto"/>
                      <w:highlight w:val="none"/>
                      <w:vertAlign w:val="baseline"/>
                      <w:lang w:eastAsia="zh-CN"/>
                    </w:rPr>
                  </w:pPr>
                  <w:r>
                    <w:rPr>
                      <w:rFonts w:hint="eastAsia"/>
                      <w:b w:val="0"/>
                      <w:bCs w:val="0"/>
                      <w:color w:val="auto"/>
                      <w:highlight w:val="none"/>
                      <w:vertAlign w:val="baseline"/>
                      <w:lang w:eastAsia="zh-CN"/>
                    </w:rPr>
                    <w:t>次</w:t>
                  </w:r>
                </w:p>
              </w:tc>
              <w:tc>
                <w:tcPr>
                  <w:tcW w:w="947" w:type="dxa"/>
                  <w:vAlign w:val="center"/>
                </w:tcPr>
                <w:p w14:paraId="754FCBF8">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365.000</w:t>
                  </w:r>
                </w:p>
              </w:tc>
            </w:tr>
            <w:tr w14:paraId="16B7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37C01B3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405" w:type="dxa"/>
                  <w:vAlign w:val="center"/>
                </w:tcPr>
                <w:p w14:paraId="61C8C745">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上门服务费</w:t>
                  </w:r>
                </w:p>
              </w:tc>
              <w:tc>
                <w:tcPr>
                  <w:tcW w:w="4344" w:type="dxa"/>
                  <w:vAlign w:val="center"/>
                </w:tcPr>
                <w:p w14:paraId="0ADC5DEE">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1、一周上门服务2次计算，</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542A360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63B8B446">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104.000</w:t>
                  </w:r>
                </w:p>
              </w:tc>
            </w:tr>
            <w:tr w14:paraId="0B0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4DD8F44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405" w:type="dxa"/>
                  <w:vAlign w:val="center"/>
                </w:tcPr>
                <w:p w14:paraId="5B1A2E8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球机/枪机检修</w:t>
                  </w:r>
                </w:p>
              </w:tc>
              <w:tc>
                <w:tcPr>
                  <w:tcW w:w="4344" w:type="dxa"/>
                  <w:vAlign w:val="center"/>
                </w:tcPr>
                <w:p w14:paraId="22EDAF5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1、前端视频监控球型机检测及修复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770AC09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47" w:type="dxa"/>
                  <w:vAlign w:val="center"/>
                </w:tcPr>
                <w:p w14:paraId="1AA00F95">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192.000</w:t>
                  </w:r>
                </w:p>
              </w:tc>
            </w:tr>
            <w:tr w14:paraId="112C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5D03775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405" w:type="dxa"/>
                  <w:vAlign w:val="center"/>
                </w:tcPr>
                <w:p w14:paraId="22234AD1">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光纤收发器检修</w:t>
                  </w:r>
                </w:p>
              </w:tc>
              <w:tc>
                <w:tcPr>
                  <w:tcW w:w="4344" w:type="dxa"/>
                  <w:vAlign w:val="center"/>
                </w:tcPr>
                <w:p w14:paraId="092DCE6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1、前端光纤收发器设备检测及修复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19E5D9E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47" w:type="dxa"/>
                  <w:vAlign w:val="center"/>
                </w:tcPr>
                <w:p w14:paraId="21275A52">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192.000</w:t>
                  </w:r>
                </w:p>
              </w:tc>
            </w:tr>
            <w:tr w14:paraId="5FAE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47" w:type="dxa"/>
                  <w:vAlign w:val="center"/>
                </w:tcPr>
                <w:p w14:paraId="6F94B0B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405" w:type="dxa"/>
                  <w:vAlign w:val="center"/>
                </w:tcPr>
                <w:p w14:paraId="15551ED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电源检修</w:t>
                  </w:r>
                </w:p>
              </w:tc>
              <w:tc>
                <w:tcPr>
                  <w:tcW w:w="4344" w:type="dxa"/>
                  <w:vAlign w:val="center"/>
                </w:tcPr>
                <w:p w14:paraId="3FB2B932">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1、设备电源、供电电源的检查及修复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27B675E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947" w:type="dxa"/>
                  <w:vAlign w:val="center"/>
                </w:tcPr>
                <w:p w14:paraId="67744B1A">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192.000</w:t>
                  </w:r>
                </w:p>
              </w:tc>
            </w:tr>
            <w:tr w14:paraId="48E3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47" w:type="dxa"/>
                  <w:vAlign w:val="center"/>
                </w:tcPr>
                <w:p w14:paraId="5F018BF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405" w:type="dxa"/>
                  <w:vAlign w:val="center"/>
                </w:tcPr>
                <w:p w14:paraId="11E6A6F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视频监控平台</w:t>
                  </w:r>
                </w:p>
              </w:tc>
              <w:tc>
                <w:tcPr>
                  <w:tcW w:w="4344" w:type="dxa"/>
                  <w:vAlign w:val="center"/>
                </w:tcPr>
                <w:p w14:paraId="037AAA4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1、监控管理平台、设备的故障处理、设备升级、漏洞升级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5473310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19178D2E">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.000</w:t>
                  </w:r>
                </w:p>
              </w:tc>
            </w:tr>
            <w:tr w14:paraId="09DB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47" w:type="dxa"/>
                  <w:vAlign w:val="center"/>
                </w:tcPr>
                <w:p w14:paraId="1D6D4E90">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7</w:t>
                  </w:r>
                </w:p>
              </w:tc>
              <w:tc>
                <w:tcPr>
                  <w:tcW w:w="1405" w:type="dxa"/>
                  <w:vAlign w:val="center"/>
                </w:tcPr>
                <w:p w14:paraId="4E5762D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存储系统（1个月一次的巡检与检修服务）</w:t>
                  </w:r>
                </w:p>
              </w:tc>
              <w:tc>
                <w:tcPr>
                  <w:tcW w:w="4344" w:type="dxa"/>
                  <w:vAlign w:val="center"/>
                </w:tcPr>
                <w:p w14:paraId="74A74A7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1、存储系统（1个月一次的巡检与检修服务）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79489250">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6A480910">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24.000</w:t>
                  </w:r>
                </w:p>
              </w:tc>
            </w:tr>
            <w:tr w14:paraId="6E7D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747" w:type="dxa"/>
                  <w:vAlign w:val="center"/>
                </w:tcPr>
                <w:p w14:paraId="4FCE2902">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8</w:t>
                  </w:r>
                </w:p>
              </w:tc>
              <w:tc>
                <w:tcPr>
                  <w:tcW w:w="1405" w:type="dxa"/>
                  <w:vAlign w:val="center"/>
                </w:tcPr>
                <w:p w14:paraId="505FE008">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8楼指挥中心拼接控制器及视频监矩阵（</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p>
              </w:tc>
              <w:tc>
                <w:tcPr>
                  <w:tcW w:w="4344" w:type="dxa"/>
                  <w:vAlign w:val="center"/>
                </w:tcPr>
                <w:p w14:paraId="422C20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1、8楼指挥中心拼接控制器及视频监矩阵（</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2、CPU卡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背板交换卡</w:t>
                  </w:r>
                </w:p>
                <w:p w14:paraId="71A32D0F">
                  <w:pPr>
                    <w:pStyle w:val="4"/>
                    <w:rPr>
                      <w:rFonts w:hint="eastAsia"/>
                      <w:color w:val="auto"/>
                      <w:highlight w:val="none"/>
                      <w:lang w:eastAsia="zh-CN"/>
                    </w:rPr>
                  </w:pPr>
                  <w:r>
                    <w:rPr>
                      <w:rFonts w:hint="eastAsia"/>
                      <w:color w:val="auto"/>
                      <w:highlight w:val="none"/>
                      <w:lang w:eastAsia="zh-CN"/>
                    </w:rPr>
                    <w:t>模拟视频输入卡</w:t>
                  </w:r>
                </w:p>
                <w:p w14:paraId="1CF20E11">
                  <w:pPr>
                    <w:pStyle w:val="4"/>
                    <w:rPr>
                      <w:rFonts w:hint="eastAsia"/>
                      <w:color w:val="auto"/>
                      <w:highlight w:val="none"/>
                      <w:lang w:eastAsia="zh-CN"/>
                    </w:rPr>
                  </w:pPr>
                  <w:r>
                    <w:rPr>
                      <w:rFonts w:hint="eastAsia"/>
                      <w:color w:val="auto"/>
                      <w:highlight w:val="none"/>
                      <w:lang w:eastAsia="zh-CN"/>
                    </w:rPr>
                    <w:t>4通道高清H.264电解码卡</w:t>
                  </w:r>
                </w:p>
                <w:p w14:paraId="669322C5">
                  <w:pPr>
                    <w:pStyle w:val="4"/>
                    <w:rPr>
                      <w:rFonts w:hint="eastAsia"/>
                      <w:color w:val="auto"/>
                      <w:highlight w:val="none"/>
                      <w:lang w:eastAsia="zh-CN"/>
                    </w:rPr>
                  </w:pPr>
                  <w:r>
                    <w:rPr>
                      <w:rFonts w:hint="eastAsia"/>
                      <w:color w:val="auto"/>
                      <w:highlight w:val="none"/>
                      <w:lang w:eastAsia="zh-CN"/>
                    </w:rPr>
                    <w:t>高清信号处理卡</w:t>
                  </w:r>
                </w:p>
                <w:p w14:paraId="58DD178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混合HDMI输出卡</w:t>
                  </w:r>
                </w:p>
                <w:p w14:paraId="74783FF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视频联网发送卡-20KM（上联市局）</w:t>
                  </w:r>
                </w:p>
                <w:p w14:paraId="08D54DD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HDMI光发射机（下联派出所）</w:t>
                  </w:r>
                </w:p>
                <w:p w14:paraId="513E528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机箱</w:t>
                  </w:r>
                </w:p>
                <w:p w14:paraId="4BE69F6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控制键盘</w:t>
                  </w:r>
                </w:p>
                <w:p w14:paraId="3C7D218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协议转换器</w:t>
                  </w:r>
                </w:p>
                <w:p w14:paraId="1D5F9E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平台管理软件</w:t>
                  </w:r>
                </w:p>
                <w:p w14:paraId="22E1127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以上设备的维护、设备的故障处理、设备升级、漏洞升级</w:t>
                  </w:r>
                </w:p>
                <w:p w14:paraId="152DB910">
                  <w:pPr>
                    <w:pStyle w:val="4"/>
                    <w:rPr>
                      <w:rFonts w:hint="eastAsia"/>
                      <w:color w:val="auto"/>
                      <w:highlight w:val="none"/>
                      <w:lang w:eastAsia="zh-CN"/>
                    </w:rPr>
                  </w:pPr>
                  <w:r>
                    <w:rPr>
                      <w:rFonts w:hint="eastAsia"/>
                      <w:color w:val="auto"/>
                      <w:highlight w:val="none"/>
                      <w:lang w:eastAsia="zh-CN"/>
                    </w:rPr>
                    <w:t>3、投标人综合考虑</w:t>
                  </w:r>
                </w:p>
              </w:tc>
              <w:tc>
                <w:tcPr>
                  <w:tcW w:w="674" w:type="dxa"/>
                  <w:vAlign w:val="center"/>
                </w:tcPr>
                <w:p w14:paraId="252F1B7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4A7F3D12">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.000</w:t>
                  </w:r>
                </w:p>
              </w:tc>
            </w:tr>
            <w:tr w14:paraId="6967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trPr>
              <w:tc>
                <w:tcPr>
                  <w:tcW w:w="747" w:type="dxa"/>
                  <w:vAlign w:val="center"/>
                </w:tcPr>
                <w:p w14:paraId="7CAEB115">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9</w:t>
                  </w:r>
                </w:p>
              </w:tc>
              <w:tc>
                <w:tcPr>
                  <w:tcW w:w="1405" w:type="dxa"/>
                  <w:vAlign w:val="center"/>
                </w:tcPr>
                <w:p w14:paraId="5586F17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网络设备（</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p>
              </w:tc>
              <w:tc>
                <w:tcPr>
                  <w:tcW w:w="4344" w:type="dxa"/>
                  <w:vAlign w:val="center"/>
                </w:tcPr>
                <w:p w14:paraId="10F0037C">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1、网络设备（</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2、核心交换机机箱 2台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核心交换机引擎 4台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核心交换机业务板卡 2台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核心交换机业务板卡 2台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核心交换机电源 4台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光模块 192块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接入交换机 8台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以上设备的维护、设备的故障处理、设备升级、漏洞升级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3、投标人综合考虑</w:t>
                  </w:r>
                </w:p>
              </w:tc>
              <w:tc>
                <w:tcPr>
                  <w:tcW w:w="674" w:type="dxa"/>
                  <w:vAlign w:val="center"/>
                </w:tcPr>
                <w:p w14:paraId="20A27282">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1FD67F93">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.000</w:t>
                  </w:r>
                </w:p>
              </w:tc>
            </w:tr>
            <w:tr w14:paraId="48CC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747" w:type="dxa"/>
                  <w:vAlign w:val="center"/>
                </w:tcPr>
                <w:p w14:paraId="2D18100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405" w:type="dxa"/>
                  <w:vAlign w:val="center"/>
                </w:tcPr>
                <w:p w14:paraId="4560D15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液晶拼接屏工程（</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p>
              </w:tc>
              <w:tc>
                <w:tcPr>
                  <w:tcW w:w="4344" w:type="dxa"/>
                  <w:vAlign w:val="center"/>
                </w:tcPr>
                <w:p w14:paraId="74AF0527">
                  <w:pPr>
                    <w:keepNext w:val="0"/>
                    <w:keepLines w:val="0"/>
                    <w:widowControl/>
                    <w:numPr>
                      <w:ilvl w:val="0"/>
                      <w:numId w:val="2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液晶拼接屏工程（</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2、45寸拼接屏  45块</w:t>
                  </w:r>
                </w:p>
                <w:p w14:paraId="675444E2">
                  <w:pPr>
                    <w:pStyle w:val="4"/>
                    <w:numPr>
                      <w:ilvl w:val="0"/>
                      <w:numId w:val="0"/>
                    </w:numPr>
                    <w:rPr>
                      <w:rFonts w:hint="eastAsia"/>
                      <w:color w:val="auto"/>
                      <w:highlight w:val="none"/>
                      <w:lang w:eastAsia="zh-CN"/>
                    </w:rPr>
                  </w:pPr>
                  <w:r>
                    <w:rPr>
                      <w:rFonts w:hint="eastAsia"/>
                      <w:color w:val="auto"/>
                      <w:highlight w:val="none"/>
                      <w:lang w:eastAsia="zh-CN"/>
                    </w:rPr>
                    <w:t>支架 45块</w:t>
                  </w:r>
                </w:p>
                <w:p w14:paraId="64DAC83D">
                  <w:pPr>
                    <w:pStyle w:val="4"/>
                    <w:numPr>
                      <w:ilvl w:val="0"/>
                      <w:numId w:val="0"/>
                    </w:numPr>
                    <w:rPr>
                      <w:rFonts w:hint="eastAsia"/>
                      <w:color w:val="auto"/>
                      <w:highlight w:val="none"/>
                      <w:lang w:eastAsia="zh-CN"/>
                    </w:rPr>
                  </w:pPr>
                  <w:r>
                    <w:rPr>
                      <w:rFonts w:hint="eastAsia"/>
                      <w:color w:val="auto"/>
                      <w:highlight w:val="none"/>
                      <w:lang w:eastAsia="zh-CN"/>
                    </w:rPr>
                    <w:t>LCD拼接显示系统控制设备 1台</w:t>
                  </w:r>
                </w:p>
                <w:p w14:paraId="7A97A5E7">
                  <w:pPr>
                    <w:pStyle w:val="4"/>
                    <w:numPr>
                      <w:ilvl w:val="0"/>
                      <w:numId w:val="0"/>
                    </w:numPr>
                    <w:rPr>
                      <w:rFonts w:hint="eastAsia"/>
                      <w:color w:val="auto"/>
                      <w:highlight w:val="none"/>
                      <w:lang w:eastAsia="zh-CN"/>
                    </w:rPr>
                  </w:pPr>
                  <w:r>
                    <w:rPr>
                      <w:rFonts w:hint="eastAsia"/>
                      <w:color w:val="auto"/>
                      <w:highlight w:val="none"/>
                      <w:lang w:eastAsia="zh-CN"/>
                    </w:rPr>
                    <w:t>电视柜层板 15套</w:t>
                  </w:r>
                </w:p>
                <w:p w14:paraId="794913FD">
                  <w:pPr>
                    <w:pStyle w:val="4"/>
                    <w:numPr>
                      <w:ilvl w:val="0"/>
                      <w:numId w:val="0"/>
                    </w:numPr>
                    <w:rPr>
                      <w:rFonts w:hint="eastAsia"/>
                      <w:color w:val="auto"/>
                      <w:highlight w:val="none"/>
                      <w:lang w:eastAsia="zh-CN"/>
                    </w:rPr>
                  </w:pPr>
                  <w:r>
                    <w:rPr>
                      <w:rFonts w:hint="eastAsia"/>
                      <w:color w:val="auto"/>
                      <w:highlight w:val="none"/>
                      <w:lang w:eastAsia="zh-CN"/>
                    </w:rPr>
                    <w:t>HDMI光端机 45套</w:t>
                  </w:r>
                </w:p>
                <w:p w14:paraId="72EEFC34">
                  <w:pPr>
                    <w:pStyle w:val="4"/>
                    <w:numPr>
                      <w:ilvl w:val="0"/>
                      <w:numId w:val="0"/>
                    </w:numPr>
                    <w:rPr>
                      <w:rFonts w:hint="eastAsia"/>
                      <w:color w:val="auto"/>
                      <w:highlight w:val="none"/>
                      <w:lang w:eastAsia="zh-CN"/>
                    </w:rPr>
                  </w:pPr>
                  <w:r>
                    <w:rPr>
                      <w:rFonts w:hint="eastAsia"/>
                      <w:color w:val="auto"/>
                      <w:highlight w:val="none"/>
                      <w:lang w:eastAsia="zh-CN"/>
                    </w:rPr>
                    <w:t>以上设备的维护、设备的故障处理、设备升级、漏洞升级</w:t>
                  </w:r>
                </w:p>
                <w:p w14:paraId="4B33D8C8">
                  <w:pPr>
                    <w:pStyle w:val="4"/>
                    <w:numPr>
                      <w:ilvl w:val="0"/>
                      <w:numId w:val="0"/>
                    </w:numPr>
                    <w:rPr>
                      <w:rFonts w:hint="eastAsia"/>
                      <w:color w:val="auto"/>
                      <w:highlight w:val="none"/>
                      <w:lang w:eastAsia="zh-CN"/>
                    </w:rPr>
                  </w:pPr>
                  <w:r>
                    <w:rPr>
                      <w:rFonts w:hint="eastAsia"/>
                      <w:color w:val="auto"/>
                      <w:highlight w:val="none"/>
                      <w:lang w:eastAsia="zh-CN"/>
                    </w:rPr>
                    <w:t>3、投标人综合考虑</w:t>
                  </w:r>
                </w:p>
              </w:tc>
              <w:tc>
                <w:tcPr>
                  <w:tcW w:w="674" w:type="dxa"/>
                  <w:vAlign w:val="center"/>
                </w:tcPr>
                <w:p w14:paraId="6A2016D1">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66769DB3">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.000</w:t>
                  </w:r>
                </w:p>
              </w:tc>
            </w:tr>
            <w:tr w14:paraId="008E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747" w:type="dxa"/>
                  <w:vAlign w:val="center"/>
                </w:tcPr>
                <w:p w14:paraId="25687FE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405" w:type="dxa"/>
                  <w:vAlign w:val="center"/>
                </w:tcPr>
                <w:p w14:paraId="2C28277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派出所监控室的设备系统(四个派出所)（</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个月一次的巡检与检修服务）</w:t>
                  </w:r>
                </w:p>
              </w:tc>
              <w:tc>
                <w:tcPr>
                  <w:tcW w:w="4344" w:type="dxa"/>
                  <w:vAlign w:val="center"/>
                </w:tcPr>
                <w:p w14:paraId="28626201">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1、派出所监控室的设备系统(四个派出所)（</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 xml:space="preserve">个月一次的巡检与检修服务）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2、55寸拼接屏 16块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支架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LCD拼接显示系统控制设备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客户端电脑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HDMI光发射机（上联分局）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交换机 24口10/100M交换机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SFP千兆光模块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光缆终端盒 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以上设备的维护、设备的故障处理、设备升级、漏洞升级</w:t>
                  </w:r>
                </w:p>
              </w:tc>
              <w:tc>
                <w:tcPr>
                  <w:tcW w:w="674" w:type="dxa"/>
                  <w:vAlign w:val="center"/>
                </w:tcPr>
                <w:p w14:paraId="608B53A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947" w:type="dxa"/>
                  <w:vAlign w:val="center"/>
                </w:tcPr>
                <w:p w14:paraId="7EDADFFD">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 xml:space="preserve"> 24</w:t>
                  </w:r>
                  <w:r>
                    <w:rPr>
                      <w:rFonts w:hint="eastAsia" w:ascii="宋体" w:hAnsi="宋体" w:eastAsia="宋体" w:cs="宋体"/>
                      <w:i w:val="0"/>
                      <w:iCs w:val="0"/>
                      <w:color w:val="auto"/>
                      <w:kern w:val="0"/>
                      <w:sz w:val="20"/>
                      <w:szCs w:val="20"/>
                      <w:highlight w:val="none"/>
                      <w:u w:val="none"/>
                      <w:lang w:val="en-US" w:eastAsia="zh-CN" w:bidi="ar"/>
                    </w:rPr>
                    <w:t>.000</w:t>
                  </w:r>
                </w:p>
              </w:tc>
            </w:tr>
            <w:tr w14:paraId="21DB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47" w:type="dxa"/>
                  <w:vAlign w:val="center"/>
                </w:tcPr>
                <w:p w14:paraId="6B51EC59">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w:t>
                  </w:r>
                </w:p>
              </w:tc>
              <w:tc>
                <w:tcPr>
                  <w:tcW w:w="1405" w:type="dxa"/>
                  <w:shd w:val="clear" w:color="auto" w:fill="auto"/>
                  <w:vAlign w:val="center"/>
                </w:tcPr>
                <w:p w14:paraId="6CA35B9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监控及相关线路管道改造</w:t>
                  </w:r>
                </w:p>
              </w:tc>
              <w:tc>
                <w:tcPr>
                  <w:tcW w:w="4344" w:type="dxa"/>
                  <w:vAlign w:val="center"/>
                </w:tcPr>
                <w:p w14:paraId="43B14BB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lang w:val="en-US" w:eastAsia="zh-CN"/>
                    </w:rPr>
                    <w:t>预计每个点位涉及150米左右长度的改造</w:t>
                  </w:r>
                </w:p>
              </w:tc>
              <w:tc>
                <w:tcPr>
                  <w:tcW w:w="674" w:type="dxa"/>
                  <w:vAlign w:val="center"/>
                </w:tcPr>
                <w:p w14:paraId="399E8B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点位</w:t>
                  </w:r>
                </w:p>
              </w:tc>
              <w:tc>
                <w:tcPr>
                  <w:tcW w:w="947" w:type="dxa"/>
                  <w:vAlign w:val="center"/>
                </w:tcPr>
                <w:p w14:paraId="3A8450A9">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78</w:t>
                  </w:r>
                </w:p>
              </w:tc>
            </w:tr>
            <w:tr w14:paraId="4146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47" w:type="dxa"/>
                  <w:vAlign w:val="center"/>
                </w:tcPr>
                <w:p w14:paraId="2BB54330">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12.1</w:t>
                  </w:r>
                </w:p>
              </w:tc>
              <w:tc>
                <w:tcPr>
                  <w:tcW w:w="1405" w:type="dxa"/>
                  <w:vAlign w:val="center"/>
                </w:tcPr>
                <w:p w14:paraId="73C21B8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网线</w:t>
                  </w:r>
                </w:p>
              </w:tc>
              <w:tc>
                <w:tcPr>
                  <w:tcW w:w="4344" w:type="dxa"/>
                  <w:vAlign w:val="center"/>
                </w:tcPr>
                <w:p w14:paraId="6DB818E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1、敷设双绞线缆或电话线 管、暗槽内穿放(对以内) 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2、超五类非屏蔽双绞线</w:t>
                  </w:r>
                </w:p>
              </w:tc>
              <w:tc>
                <w:tcPr>
                  <w:tcW w:w="674" w:type="dxa"/>
                  <w:vAlign w:val="center"/>
                </w:tcPr>
                <w:p w14:paraId="48742311">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m</w:t>
                  </w:r>
                </w:p>
              </w:tc>
              <w:tc>
                <w:tcPr>
                  <w:tcW w:w="947" w:type="dxa"/>
                  <w:vAlign w:val="center"/>
                </w:tcPr>
                <w:p w14:paraId="08B144EB">
                  <w:pPr>
                    <w:keepNext w:val="0"/>
                    <w:keepLines w:val="0"/>
                    <w:widowControl/>
                    <w:suppressLineNumbers w:val="0"/>
                    <w:jc w:val="center"/>
                    <w:textAlignment w:val="center"/>
                    <w:rPr>
                      <w:rFonts w:hint="default"/>
                      <w:b/>
                      <w:bCs/>
                      <w:color w:val="auto"/>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1批</w:t>
                  </w:r>
                </w:p>
              </w:tc>
            </w:tr>
            <w:tr w14:paraId="2F84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1AC437C4">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12.2</w:t>
                  </w:r>
                </w:p>
              </w:tc>
              <w:tc>
                <w:tcPr>
                  <w:tcW w:w="1405" w:type="dxa"/>
                  <w:vAlign w:val="center"/>
                </w:tcPr>
                <w:p w14:paraId="11A00CB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沙井维修 400*600</w:t>
                  </w:r>
                </w:p>
              </w:tc>
              <w:tc>
                <w:tcPr>
                  <w:tcW w:w="4344" w:type="dxa"/>
                  <w:vAlign w:val="center"/>
                </w:tcPr>
                <w:p w14:paraId="6ECF7C6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1、沙井维修 400*600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37DF4EF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座</w:t>
                  </w:r>
                </w:p>
              </w:tc>
              <w:tc>
                <w:tcPr>
                  <w:tcW w:w="947" w:type="dxa"/>
                  <w:vAlign w:val="center"/>
                </w:tcPr>
                <w:p w14:paraId="43FC1FA3">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1批</w:t>
                  </w:r>
                </w:p>
              </w:tc>
            </w:tr>
            <w:tr w14:paraId="22A4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4C11457B">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12.3</w:t>
                  </w:r>
                </w:p>
              </w:tc>
              <w:tc>
                <w:tcPr>
                  <w:tcW w:w="1405" w:type="dxa"/>
                  <w:vAlign w:val="center"/>
                </w:tcPr>
                <w:p w14:paraId="290921F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室外电箱</w:t>
                  </w:r>
                </w:p>
              </w:tc>
              <w:tc>
                <w:tcPr>
                  <w:tcW w:w="4344" w:type="dxa"/>
                  <w:vAlign w:val="center"/>
                </w:tcPr>
                <w:p w14:paraId="20C3A61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1、室外电箱</w:t>
                  </w:r>
                  <w:r>
                    <w:rPr>
                      <w:rFonts w:hint="eastAsia" w:ascii="宋体" w:hAnsi="宋体" w:cs="宋体"/>
                      <w:i w:val="0"/>
                      <w:iCs w:val="0"/>
                      <w:color w:val="auto"/>
                      <w:kern w:val="0"/>
                      <w:sz w:val="20"/>
                      <w:szCs w:val="20"/>
                      <w:highlight w:val="none"/>
                      <w:u w:val="none"/>
                      <w:lang w:val="en-US" w:eastAsia="zh-CN" w:bidi="ar"/>
                    </w:rPr>
                    <w:t>维护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674" w:type="dxa"/>
                  <w:vAlign w:val="center"/>
                </w:tcPr>
                <w:p w14:paraId="695F7B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947" w:type="dxa"/>
                  <w:vAlign w:val="center"/>
                </w:tcPr>
                <w:p w14:paraId="13E6201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1批</w:t>
                  </w:r>
                </w:p>
              </w:tc>
            </w:tr>
            <w:tr w14:paraId="157D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0720337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12.4</w:t>
                  </w:r>
                </w:p>
              </w:tc>
              <w:tc>
                <w:tcPr>
                  <w:tcW w:w="1405" w:type="dxa"/>
                  <w:vAlign w:val="center"/>
                </w:tcPr>
                <w:p w14:paraId="1782752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挖一般土方</w:t>
                  </w:r>
                </w:p>
              </w:tc>
              <w:tc>
                <w:tcPr>
                  <w:tcW w:w="4344" w:type="dxa"/>
                  <w:vAlign w:val="center"/>
                </w:tcPr>
                <w:p w14:paraId="04117D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1、人工挖一般土方 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2、挖掘机挖一般土方 一、二类土</w:t>
                  </w:r>
                </w:p>
              </w:tc>
              <w:tc>
                <w:tcPr>
                  <w:tcW w:w="674" w:type="dxa"/>
                  <w:vAlign w:val="center"/>
                </w:tcPr>
                <w:p w14:paraId="6A15BC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m3</w:t>
                  </w:r>
                </w:p>
              </w:tc>
              <w:tc>
                <w:tcPr>
                  <w:tcW w:w="947" w:type="dxa"/>
                  <w:vAlign w:val="center"/>
                </w:tcPr>
                <w:p w14:paraId="6B2CD763">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1项</w:t>
                  </w:r>
                </w:p>
              </w:tc>
            </w:tr>
            <w:tr w14:paraId="5A99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47" w:type="dxa"/>
                  <w:vAlign w:val="center"/>
                </w:tcPr>
                <w:p w14:paraId="48A0ECE2">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12.5</w:t>
                  </w:r>
                </w:p>
              </w:tc>
              <w:tc>
                <w:tcPr>
                  <w:tcW w:w="1405" w:type="dxa"/>
                  <w:vAlign w:val="center"/>
                </w:tcPr>
                <w:p w14:paraId="066B14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4344" w:type="dxa"/>
                  <w:vAlign w:val="center"/>
                </w:tcPr>
                <w:p w14:paraId="639CA54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1、回填土 夯实机夯实 槽、坑</w:t>
                  </w:r>
                </w:p>
              </w:tc>
              <w:tc>
                <w:tcPr>
                  <w:tcW w:w="674" w:type="dxa"/>
                  <w:vAlign w:val="center"/>
                </w:tcPr>
                <w:p w14:paraId="46F0B24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m3</w:t>
                  </w:r>
                </w:p>
              </w:tc>
              <w:tc>
                <w:tcPr>
                  <w:tcW w:w="947" w:type="dxa"/>
                  <w:vAlign w:val="center"/>
                </w:tcPr>
                <w:p w14:paraId="0B7E09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1项</w:t>
                  </w:r>
                </w:p>
              </w:tc>
            </w:tr>
            <w:tr w14:paraId="1F80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7" w:type="dxa"/>
                  <w:vAlign w:val="center"/>
                </w:tcPr>
                <w:p w14:paraId="7E1240E7">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12.6</w:t>
                  </w:r>
                </w:p>
              </w:tc>
              <w:tc>
                <w:tcPr>
                  <w:tcW w:w="1405" w:type="dxa"/>
                  <w:vAlign w:val="center"/>
                </w:tcPr>
                <w:p w14:paraId="1E2D847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拆除路面</w:t>
                  </w:r>
                </w:p>
              </w:tc>
              <w:tc>
                <w:tcPr>
                  <w:tcW w:w="4344" w:type="dxa"/>
                  <w:vAlign w:val="center"/>
                </w:tcPr>
                <w:p w14:paraId="4DF0502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1、小型机械拆除混凝土类路面层 无筋 厚15cm内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2、自卸汽车运石方 运距5km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3、挖掘机挖装松散石方</w:t>
                  </w:r>
                </w:p>
              </w:tc>
              <w:tc>
                <w:tcPr>
                  <w:tcW w:w="674" w:type="dxa"/>
                  <w:vAlign w:val="center"/>
                </w:tcPr>
                <w:p w14:paraId="028462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w:t>
                  </w:r>
                </w:p>
              </w:tc>
              <w:tc>
                <w:tcPr>
                  <w:tcW w:w="947" w:type="dxa"/>
                  <w:vAlign w:val="center"/>
                </w:tcPr>
                <w:p w14:paraId="387CB9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1项</w:t>
                  </w:r>
                </w:p>
              </w:tc>
            </w:tr>
            <w:tr w14:paraId="22B0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7" w:type="dxa"/>
                  <w:vAlign w:val="center"/>
                </w:tcPr>
                <w:p w14:paraId="338B7643">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12.7</w:t>
                  </w:r>
                </w:p>
              </w:tc>
              <w:tc>
                <w:tcPr>
                  <w:tcW w:w="1405" w:type="dxa"/>
                  <w:vAlign w:val="center"/>
                </w:tcPr>
                <w:p w14:paraId="29F1D4D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水泥混凝土</w:t>
                  </w:r>
                </w:p>
              </w:tc>
              <w:tc>
                <w:tcPr>
                  <w:tcW w:w="4344" w:type="dxa"/>
                  <w:vAlign w:val="center"/>
                </w:tcPr>
                <w:p w14:paraId="663B104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1、水泥混凝土路面 厚度 20cm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2、水泥混凝土路面养生 水养生</w:t>
                  </w:r>
                </w:p>
              </w:tc>
              <w:tc>
                <w:tcPr>
                  <w:tcW w:w="674" w:type="dxa"/>
                  <w:vAlign w:val="center"/>
                </w:tcPr>
                <w:p w14:paraId="02C985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w:t>
                  </w:r>
                </w:p>
              </w:tc>
              <w:tc>
                <w:tcPr>
                  <w:tcW w:w="947" w:type="dxa"/>
                  <w:vAlign w:val="center"/>
                </w:tcPr>
                <w:p w14:paraId="1A954A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1项</w:t>
                  </w:r>
                </w:p>
              </w:tc>
            </w:tr>
            <w:tr w14:paraId="3FF2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747" w:type="dxa"/>
                  <w:vAlign w:val="center"/>
                </w:tcPr>
                <w:p w14:paraId="5C3685D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12.8</w:t>
                  </w:r>
                </w:p>
              </w:tc>
              <w:tc>
                <w:tcPr>
                  <w:tcW w:w="1405" w:type="dxa"/>
                  <w:vAlign w:val="center"/>
                </w:tcPr>
                <w:p w14:paraId="69E549C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水平导向钻进 φ110</w:t>
                  </w:r>
                </w:p>
              </w:tc>
              <w:tc>
                <w:tcPr>
                  <w:tcW w:w="4344" w:type="dxa"/>
                  <w:vAlign w:val="center"/>
                </w:tcPr>
                <w:p w14:paraId="4CF2CF1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1、钻导向孔 DN≤300mm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2、扩孔 DN200mm以内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3、塑料管安装(对接熔接) 管外径110mm以内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4、PE管 De110 1.0Mpa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5、PE塑料管件 De110</w:t>
                  </w:r>
                </w:p>
              </w:tc>
              <w:tc>
                <w:tcPr>
                  <w:tcW w:w="674" w:type="dxa"/>
                  <w:vAlign w:val="center"/>
                </w:tcPr>
                <w:p w14:paraId="6BFB48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w:t>
                  </w:r>
                </w:p>
              </w:tc>
              <w:tc>
                <w:tcPr>
                  <w:tcW w:w="947" w:type="dxa"/>
                  <w:vAlign w:val="center"/>
                </w:tcPr>
                <w:p w14:paraId="214FCF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1项</w:t>
                  </w:r>
                </w:p>
              </w:tc>
            </w:tr>
            <w:tr w14:paraId="3040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47" w:type="dxa"/>
                  <w:vAlign w:val="center"/>
                </w:tcPr>
                <w:p w14:paraId="33416565">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12.9</w:t>
                  </w:r>
                </w:p>
              </w:tc>
              <w:tc>
                <w:tcPr>
                  <w:tcW w:w="1405" w:type="dxa"/>
                  <w:vAlign w:val="center"/>
                </w:tcPr>
                <w:p w14:paraId="46C03A3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配管 PVC32</w:t>
                  </w:r>
                </w:p>
              </w:tc>
              <w:tc>
                <w:tcPr>
                  <w:tcW w:w="4344" w:type="dxa"/>
                  <w:vAlign w:val="center"/>
                </w:tcPr>
                <w:p w14:paraId="2B02E96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1、刚性难燃线管埋地敷设 公称直径（mm以内） 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2、刚性难燃管 PVC32</w:t>
                  </w:r>
                </w:p>
              </w:tc>
              <w:tc>
                <w:tcPr>
                  <w:tcW w:w="674" w:type="dxa"/>
                  <w:vAlign w:val="center"/>
                </w:tcPr>
                <w:p w14:paraId="16A2D5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w:t>
                  </w:r>
                </w:p>
              </w:tc>
              <w:tc>
                <w:tcPr>
                  <w:tcW w:w="947" w:type="dxa"/>
                  <w:vAlign w:val="center"/>
                </w:tcPr>
                <w:p w14:paraId="0FEE32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1批</w:t>
                  </w:r>
                </w:p>
              </w:tc>
            </w:tr>
            <w:tr w14:paraId="1752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47" w:type="dxa"/>
                  <w:vAlign w:val="center"/>
                </w:tcPr>
                <w:p w14:paraId="708C4633">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12.10</w:t>
                  </w:r>
                </w:p>
              </w:tc>
              <w:tc>
                <w:tcPr>
                  <w:tcW w:w="1405" w:type="dxa"/>
                  <w:vAlign w:val="center"/>
                </w:tcPr>
                <w:p w14:paraId="53AC82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配线 RVV-3*2.5</w:t>
                  </w:r>
                </w:p>
              </w:tc>
              <w:tc>
                <w:tcPr>
                  <w:tcW w:w="4344" w:type="dxa"/>
                  <w:vAlign w:val="center"/>
                </w:tcPr>
                <w:p w14:paraId="065184E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1、多芯软导线管内穿线(芯以内) 四芯 导线截面(mm2以内) 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2、电缆线 RVV-3*2.5</w:t>
                  </w:r>
                </w:p>
              </w:tc>
              <w:tc>
                <w:tcPr>
                  <w:tcW w:w="674" w:type="dxa"/>
                  <w:vAlign w:val="center"/>
                </w:tcPr>
                <w:p w14:paraId="28B24E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w:t>
                  </w:r>
                </w:p>
              </w:tc>
              <w:tc>
                <w:tcPr>
                  <w:tcW w:w="947" w:type="dxa"/>
                  <w:vAlign w:val="center"/>
                </w:tcPr>
                <w:p w14:paraId="697059C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1批</w:t>
                  </w:r>
                </w:p>
              </w:tc>
            </w:tr>
          </w:tbl>
          <w:p w14:paraId="520125D4">
            <w:pPr>
              <w:pStyle w:val="11"/>
              <w:numPr>
                <w:ilvl w:val="0"/>
                <w:numId w:val="0"/>
              </w:numPr>
              <w:jc w:val="both"/>
              <w:rPr>
                <w:rFonts w:hint="eastAsia"/>
                <w:b/>
                <w:bCs/>
                <w:color w:val="auto"/>
                <w:highlight w:val="none"/>
                <w:lang w:eastAsia="zh-CN"/>
              </w:rPr>
            </w:pPr>
          </w:p>
          <w:p w14:paraId="45CC3C6B">
            <w:pPr>
              <w:pStyle w:val="11"/>
              <w:numPr>
                <w:ilvl w:val="0"/>
                <w:numId w:val="0"/>
              </w:numPr>
              <w:jc w:val="both"/>
              <w:rPr>
                <w:rFonts w:hint="eastAsia"/>
                <w:b/>
                <w:bCs/>
                <w:color w:val="auto"/>
                <w:highlight w:val="none"/>
                <w:lang w:eastAsia="zh-CN"/>
              </w:rPr>
            </w:pPr>
          </w:p>
        </w:tc>
      </w:tr>
      <w:tr w14:paraId="0CDF7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61" w:hRule="atLeast"/>
        </w:trPr>
        <w:tc>
          <w:tcPr>
            <w:tcW w:w="758" w:type="dxa"/>
          </w:tcPr>
          <w:p w14:paraId="2F195610">
            <w:pPr>
              <w:rPr>
                <w:color w:val="auto"/>
                <w:highlight w:val="none"/>
              </w:rPr>
            </w:pPr>
          </w:p>
        </w:tc>
        <w:tc>
          <w:tcPr>
            <w:tcW w:w="339" w:type="dxa"/>
          </w:tcPr>
          <w:p w14:paraId="17F350A2">
            <w:pPr>
              <w:pStyle w:val="11"/>
              <w:jc w:val="center"/>
              <w:rPr>
                <w:rFonts w:hint="default" w:eastAsia="宋体"/>
                <w:color w:val="auto"/>
                <w:highlight w:val="none"/>
                <w:lang w:val="en-US" w:eastAsia="zh-CN"/>
              </w:rPr>
            </w:pPr>
            <w:r>
              <w:rPr>
                <w:rFonts w:hint="eastAsia"/>
                <w:color w:val="auto"/>
                <w:highlight w:val="none"/>
                <w:lang w:val="en-US" w:eastAsia="zh-CN"/>
              </w:rPr>
              <w:t>4</w:t>
            </w:r>
          </w:p>
        </w:tc>
        <w:tc>
          <w:tcPr>
            <w:tcW w:w="8569" w:type="dxa"/>
          </w:tcPr>
          <w:p w14:paraId="480DF48F">
            <w:pPr>
              <w:pStyle w:val="11"/>
              <w:numPr>
                <w:ilvl w:val="0"/>
                <w:numId w:val="0"/>
              </w:numPr>
              <w:jc w:val="both"/>
              <w:rPr>
                <w:rFonts w:hint="eastAsia" w:eastAsia="宋体"/>
                <w:color w:val="auto"/>
                <w:highlight w:val="none"/>
                <w:lang w:eastAsia="zh-CN"/>
              </w:rPr>
            </w:pPr>
            <w:r>
              <w:rPr>
                <w:rFonts w:hint="eastAsia"/>
                <w:b/>
                <w:bCs/>
                <w:color w:val="auto"/>
                <w:highlight w:val="none"/>
                <w:lang w:eastAsia="zh-CN"/>
              </w:rPr>
              <w:t>四、</w:t>
            </w:r>
            <w:r>
              <w:rPr>
                <w:rFonts w:hint="eastAsia"/>
                <w:b/>
                <w:bCs/>
                <w:color w:val="auto"/>
                <w:highlight w:val="none"/>
              </w:rPr>
              <w:t>光纤线路租赁及数据存储</w:t>
            </w:r>
            <w:r>
              <w:rPr>
                <w:rFonts w:hint="eastAsia"/>
                <w:b/>
                <w:bCs/>
                <w:color w:val="auto"/>
                <w:highlight w:val="none"/>
                <w:lang w:eastAsia="zh-CN"/>
              </w:rPr>
              <w:t>清单</w:t>
            </w:r>
          </w:p>
          <w:tbl>
            <w:tblPr>
              <w:tblStyle w:val="8"/>
              <w:tblW w:w="811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1217"/>
              <w:gridCol w:w="4693"/>
              <w:gridCol w:w="722"/>
              <w:gridCol w:w="937"/>
            </w:tblGrid>
            <w:tr w14:paraId="0C2E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411F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AA70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893D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5C50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单位</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423D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工程数量</w:t>
                  </w:r>
                </w:p>
              </w:tc>
            </w:tr>
            <w:tr w14:paraId="6B9C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1F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A61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光纤链路</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BB351">
                  <w:pPr>
                    <w:keepNext w:val="0"/>
                    <w:keepLines w:val="0"/>
                    <w:widowControl/>
                    <w:numPr>
                      <w:ilvl w:val="0"/>
                      <w:numId w:val="18"/>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光纤链路费用:运营商点对点裸光纤链路租用，含故障修复。含前端设备电费</w:t>
                  </w:r>
                </w:p>
                <w:p w14:paraId="645F3030">
                  <w:pPr>
                    <w:keepNext w:val="0"/>
                    <w:keepLines w:val="0"/>
                    <w:widowControl/>
                    <w:numPr>
                      <w:ilvl w:val="0"/>
                      <w:numId w:val="18"/>
                    </w:numPr>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C59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6869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192.000</w:t>
                  </w:r>
                </w:p>
              </w:tc>
            </w:tr>
            <w:tr w14:paraId="5255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exac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0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E23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光模块收发器</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2425">
                  <w:pPr>
                    <w:keepNext w:val="0"/>
                    <w:keepLines w:val="0"/>
                    <w:widowControl/>
                    <w:numPr>
                      <w:ilvl w:val="0"/>
                      <w:numId w:val="21"/>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rPr>
                    <w:t>含机房A端</w:t>
                  </w:r>
                  <w:r>
                    <w:rPr>
                      <w:rFonts w:hint="eastAsia" w:ascii="宋体" w:hAnsi="宋体" w:cs="宋体"/>
                      <w:i w:val="0"/>
                      <w:iCs w:val="0"/>
                      <w:color w:val="auto"/>
                      <w:kern w:val="0"/>
                      <w:sz w:val="21"/>
                      <w:szCs w:val="21"/>
                      <w:highlight w:val="none"/>
                      <w:u w:val="none"/>
                      <w:lang w:val="en-US" w:eastAsia="zh-CN"/>
                    </w:rPr>
                    <w:t>千兆光模块</w:t>
                  </w:r>
                  <w:r>
                    <w:rPr>
                      <w:rFonts w:hint="eastAsia" w:ascii="宋体" w:hAnsi="宋体" w:eastAsia="宋体" w:cs="宋体"/>
                      <w:i w:val="0"/>
                      <w:iCs w:val="0"/>
                      <w:color w:val="auto"/>
                      <w:kern w:val="0"/>
                      <w:sz w:val="21"/>
                      <w:szCs w:val="21"/>
                      <w:highlight w:val="none"/>
                      <w:u w:val="none"/>
                      <w:lang w:val="en-US" w:eastAsia="zh-CN"/>
                    </w:rPr>
                    <w:t>和杆体B端两光八电口全千兆收发器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2、用于杆体上的箱体中，防雷抗干扰耐高温</w:t>
                  </w:r>
                </w:p>
                <w:p w14:paraId="6E1B90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满足项目技术要求</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0F7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EDA0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192.000</w:t>
                  </w:r>
                </w:p>
              </w:tc>
            </w:tr>
            <w:tr w14:paraId="3399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82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BD6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布放尾纤</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A16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1、布放尾纤 光纤配线架内跳线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2、尾纤 3m双头</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808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BEA7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384</w:t>
                  </w:r>
                  <w:r>
                    <w:rPr>
                      <w:rFonts w:hint="eastAsia" w:ascii="宋体" w:hAnsi="宋体" w:eastAsia="宋体" w:cs="宋体"/>
                      <w:i w:val="0"/>
                      <w:iCs w:val="0"/>
                      <w:color w:val="auto"/>
                      <w:kern w:val="0"/>
                      <w:sz w:val="20"/>
                      <w:szCs w:val="20"/>
                      <w:highlight w:val="none"/>
                      <w:u w:val="none"/>
                      <w:lang w:val="en-US" w:eastAsia="zh-CN" w:bidi="ar"/>
                    </w:rPr>
                    <w:t>.000</w:t>
                  </w:r>
                </w:p>
              </w:tc>
            </w:tr>
            <w:tr w14:paraId="6A1E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0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45C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磁盘阵列</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9370">
                  <w:pPr>
                    <w:pStyle w:val="11"/>
                    <w:jc w:val="both"/>
                    <w:rPr>
                      <w:rFonts w:hint="default" w:eastAsia="宋体"/>
                      <w:color w:val="auto"/>
                      <w:sz w:val="21"/>
                      <w:highlight w:val="none"/>
                      <w:lang w:val="en-US" w:eastAsia="zh-CN"/>
                    </w:rPr>
                  </w:pPr>
                  <w:r>
                    <w:rPr>
                      <w:rFonts w:hint="eastAsia" w:ascii="宋体" w:hAnsi="宋体" w:cs="宋体"/>
                      <w:i w:val="0"/>
                      <w:iCs w:val="0"/>
                      <w:color w:val="auto"/>
                      <w:sz w:val="21"/>
                      <w:szCs w:val="21"/>
                      <w:highlight w:val="none"/>
                      <w:u w:val="none"/>
                      <w:lang w:val="en-US" w:eastAsia="zh-CN"/>
                    </w:rPr>
                    <w:t>参数要求与“</w:t>
                  </w:r>
                  <w:r>
                    <w:rPr>
                      <w:rFonts w:hint="eastAsia"/>
                      <w:color w:val="auto"/>
                      <w:sz w:val="21"/>
                      <w:highlight w:val="none"/>
                      <w:lang w:val="en-US" w:eastAsia="zh-CN"/>
                    </w:rPr>
                    <w:t>2、详细技术参数”中的一致。</w:t>
                  </w:r>
                </w:p>
                <w:p w14:paraId="2E30A861">
                  <w:pPr>
                    <w:pStyle w:val="11"/>
                    <w:jc w:val="both"/>
                    <w:rPr>
                      <w:rFonts w:hint="eastAsia" w:ascii="宋体" w:hAnsi="宋体" w:eastAsia="宋体" w:cs="宋体"/>
                      <w:i w:val="0"/>
                      <w:iCs w:val="0"/>
                      <w:color w:val="auto"/>
                      <w:sz w:val="20"/>
                      <w:szCs w:val="20"/>
                      <w:highlight w:val="none"/>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43C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9DFB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.000</w:t>
                  </w:r>
                </w:p>
              </w:tc>
            </w:tr>
            <w:tr w14:paraId="5591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DD2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FF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存储设备</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0FB8">
                  <w:pPr>
                    <w:pStyle w:val="11"/>
                    <w:jc w:val="both"/>
                    <w:rPr>
                      <w:rFonts w:hint="default" w:eastAsia="宋体"/>
                      <w:color w:val="auto"/>
                      <w:sz w:val="21"/>
                      <w:highlight w:val="none"/>
                      <w:lang w:val="en-US" w:eastAsia="zh-CN"/>
                    </w:rPr>
                  </w:pPr>
                  <w:r>
                    <w:rPr>
                      <w:rFonts w:hint="eastAsia" w:ascii="宋体" w:hAnsi="宋体" w:cs="宋体"/>
                      <w:i w:val="0"/>
                      <w:iCs w:val="0"/>
                      <w:color w:val="auto"/>
                      <w:sz w:val="21"/>
                      <w:szCs w:val="21"/>
                      <w:highlight w:val="none"/>
                      <w:u w:val="none"/>
                      <w:lang w:val="en-US" w:eastAsia="zh-CN"/>
                    </w:rPr>
                    <w:t>参数要求与“</w:t>
                  </w:r>
                  <w:r>
                    <w:rPr>
                      <w:rFonts w:hint="eastAsia"/>
                      <w:color w:val="auto"/>
                      <w:sz w:val="21"/>
                      <w:highlight w:val="none"/>
                      <w:lang w:val="en-US" w:eastAsia="zh-CN"/>
                    </w:rPr>
                    <w:t>2、详细技术参数”中的一致。</w:t>
                  </w:r>
                </w:p>
                <w:p w14:paraId="519DF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DB5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2C988">
                  <w:pPr>
                    <w:keepNext w:val="0"/>
                    <w:keepLines w:val="0"/>
                    <w:widowControl/>
                    <w:suppressLineNumbers w:val="0"/>
                    <w:jc w:val="right"/>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98</w:t>
                  </w:r>
                </w:p>
              </w:tc>
            </w:tr>
            <w:tr w14:paraId="09B9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8EE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7D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ai解析</w:t>
                  </w:r>
                  <w:r>
                    <w:rPr>
                      <w:rFonts w:hint="eastAsia" w:ascii="宋体" w:hAnsi="宋体" w:cs="宋体"/>
                      <w:i w:val="0"/>
                      <w:iCs w:val="0"/>
                      <w:color w:val="auto"/>
                      <w:kern w:val="0"/>
                      <w:sz w:val="20"/>
                      <w:szCs w:val="20"/>
                      <w:highlight w:val="none"/>
                      <w:u w:val="none"/>
                      <w:lang w:val="en-US" w:eastAsia="zh-CN" w:bidi="ar"/>
                    </w:rPr>
                    <w:t>功能</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C23B1">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i w:val="0"/>
                      <w:iCs w:val="0"/>
                      <w:color w:val="auto"/>
                      <w:kern w:val="0"/>
                      <w:sz w:val="21"/>
                      <w:szCs w:val="21"/>
                      <w:highlight w:val="none"/>
                      <w:u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rPr>
                    <w:t>合同期内，中标人须提供以下服务内容：</w:t>
                  </w:r>
                </w:p>
                <w:p w14:paraId="2976BBF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核心功能模块</w:t>
                  </w:r>
                </w:p>
                <w:p w14:paraId="08990C5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人车管控中心：实时感知、轨迹还原、智能检索（人像库检索、抓拍库检索）、告警事件管理、数据中心可视化。</w:t>
                  </w:r>
                </w:p>
                <w:p w14:paraId="1CEEF12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AI推理平台：算法仓管理（检测模型纳管、跨芯片部署）、算法调度（相机配置、离线视频分析、告警设置）、数据研判（历史事件、事件统计、客流统计）。</w:t>
                  </w:r>
                </w:p>
                <w:p w14:paraId="799F5A2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全域研判：属性检索（行人/骑行/车辆多标签检索）、以图搜图（以脸搜脸、以车搜车、REID搜图、多图搜图）、收敛研判（时空轨迹刻画、目标归档）。</w:t>
                  </w:r>
                </w:p>
                <w:p w14:paraId="279B324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综合布控：人脸布控（黑名单/白名单布控、即时布控）、车辆布控（车牌缺损布控、即时布控）、布控告警管理。</w:t>
                  </w:r>
                </w:p>
                <w:p w14:paraId="51146E1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系统管理：用户权限管理、日志审计、机构/部门/区域分级管理。</w:t>
                  </w:r>
                </w:p>
                <w:p w14:paraId="4DB0559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算法需求</w:t>
                  </w:r>
                </w:p>
                <w:p w14:paraId="3F6DAD0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基础算法：持械检测、打架斗殴检测、奔跑追逐检测、重点监控人群布控告警、火焰检测、管控区域车辆闯入检测、聚集人群突变检测、路面积水检测、人员电扶梯逆行检测、客流分析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客流</w:t>
                  </w:r>
                  <w:r>
                    <w:rPr>
                      <w:rFonts w:hint="eastAsia" w:ascii="宋体" w:hAnsi="宋体" w:eastAsia="宋体" w:cs="宋体"/>
                      <w:color w:val="auto"/>
                      <w:sz w:val="21"/>
                      <w:szCs w:val="21"/>
                      <w:highlight w:val="none"/>
                    </w:rPr>
                    <w:t>突变告警。</w:t>
                  </w:r>
                </w:p>
                <w:p w14:paraId="1EE5F02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智能分析算法：人脸人体关联、人脸机动车关联、人脸非机动车关联、时空互斥校验、跨目标域检索（REID）。</w:t>
                  </w:r>
                </w:p>
                <w:p w14:paraId="6C9734F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大模型编排能力：支持语言编排生成新场景算法（人员行为、物品识别、场景识别），支持算法微调与部署。</w:t>
                  </w:r>
                </w:p>
                <w:p w14:paraId="489B724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性能要求</w:t>
                  </w:r>
                </w:p>
                <w:p w14:paraId="07AF256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支持与现有公安视频专网、社会资源平台无缝对接（GB/T 28181、GA/T 1400协议）。</w:t>
                  </w:r>
                </w:p>
                <w:p w14:paraId="17825F2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支持1000路图片流并发识别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支持离线视频分析</w:t>
                  </w:r>
                  <w:r>
                    <w:rPr>
                      <w:rFonts w:hint="eastAsia" w:ascii="宋体" w:hAnsi="宋体" w:eastAsia="宋体" w:cs="宋体"/>
                      <w:color w:val="auto"/>
                      <w:sz w:val="21"/>
                      <w:szCs w:val="21"/>
                      <w:highlight w:val="none"/>
                      <w:lang w:eastAsia="zh-CN"/>
                    </w:rPr>
                    <w:t>。</w:t>
                  </w:r>
                </w:p>
                <w:p w14:paraId="5AE9934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算法仓支持多芯片适配（</w:t>
                  </w:r>
                  <w:r>
                    <w:rPr>
                      <w:rFonts w:hint="eastAsia" w:ascii="宋体" w:hAnsi="宋体" w:eastAsia="宋体" w:cs="宋体"/>
                      <w:color w:val="auto"/>
                      <w:sz w:val="21"/>
                      <w:szCs w:val="21"/>
                      <w:highlight w:val="none"/>
                      <w:lang w:val="en-US" w:eastAsia="zh-CN"/>
                    </w:rPr>
                    <w:t>国产加速卡、国产SC5+算力卡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动态调度GPU算力资源。</w:t>
                  </w:r>
                </w:p>
                <w:p w14:paraId="67B4077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1"/>
                      <w:szCs w:val="21"/>
                      <w:highlight w:val="none"/>
                      <w:lang w:val="en-US" w:eastAsia="zh-CN"/>
                    </w:rPr>
                    <w:t>分析单元采用</w:t>
                  </w:r>
                  <w:r>
                    <w:rPr>
                      <w:rFonts w:hint="eastAsia" w:ascii="宋体" w:hAnsi="宋体" w:eastAsia="宋体" w:cs="宋体"/>
                      <w:color w:val="auto"/>
                      <w:sz w:val="21"/>
                      <w:szCs w:val="21"/>
                      <w:highlight w:val="none"/>
                    </w:rPr>
                    <w:t>前期测试验证的高性能服务器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兼容现有局内测试环境。</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79039">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路</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7E711">
                  <w:pPr>
                    <w:keepNext w:val="0"/>
                    <w:keepLines w:val="0"/>
                    <w:widowControl/>
                    <w:suppressLineNumbers w:val="0"/>
                    <w:jc w:val="righ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80</w:t>
                  </w:r>
                </w:p>
              </w:tc>
            </w:tr>
          </w:tbl>
          <w:p w14:paraId="7660D52E">
            <w:pPr>
              <w:pStyle w:val="11"/>
              <w:numPr>
                <w:ilvl w:val="0"/>
                <w:numId w:val="0"/>
              </w:numPr>
              <w:jc w:val="both"/>
              <w:rPr>
                <w:rFonts w:hint="eastAsia"/>
                <w:b/>
                <w:bCs/>
                <w:color w:val="auto"/>
                <w:highlight w:val="none"/>
                <w:lang w:eastAsia="zh-CN"/>
              </w:rPr>
            </w:pPr>
          </w:p>
        </w:tc>
      </w:tr>
      <w:tr w14:paraId="0DD88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0291FF3D">
            <w:pPr>
              <w:pStyle w:val="11"/>
              <w:rPr>
                <w:color w:val="auto"/>
                <w:highlight w:val="none"/>
              </w:rPr>
            </w:pPr>
            <w:r>
              <w:rPr>
                <w:color w:val="auto"/>
                <w:highlight w:val="none"/>
              </w:rPr>
              <w:t>说明</w:t>
            </w:r>
          </w:p>
        </w:tc>
        <w:tc>
          <w:tcPr>
            <w:tcW w:w="8908" w:type="dxa"/>
            <w:gridSpan w:val="2"/>
          </w:tcPr>
          <w:p w14:paraId="41DC50F3">
            <w:pPr>
              <w:pStyle w:val="11"/>
              <w:keepNext w:val="0"/>
              <w:keepLines w:val="0"/>
              <w:pageBreakBefore w:val="0"/>
              <w:kinsoku/>
              <w:wordWrap/>
              <w:overflowPunct/>
              <w:topLinePunct w:val="0"/>
              <w:autoSpaceDE/>
              <w:autoSpaceDN/>
              <w:bidi w:val="0"/>
              <w:adjustRightInd/>
              <w:snapToGrid/>
              <w:spacing w:line="360" w:lineRule="exact"/>
              <w:jc w:val="left"/>
              <w:textAlignment w:val="auto"/>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3F840B1A">
      <w:pPr>
        <w:bidi w:val="0"/>
        <w:rPr>
          <w:color w:val="auto"/>
          <w:highlight w:val="none"/>
        </w:rPr>
      </w:pPr>
    </w:p>
    <w:p w14:paraId="4011DE41">
      <w:pPr>
        <w:pStyle w:val="4"/>
        <w:rPr>
          <w:color w:val="auto"/>
          <w:highlight w:val="none"/>
        </w:rPr>
      </w:pPr>
    </w:p>
    <w:p w14:paraId="165FA5D8">
      <w:pPr>
        <w:rPr>
          <w:color w:val="auto"/>
          <w:sz w:val="21"/>
          <w:szCs w:val="21"/>
          <w:highlight w:val="none"/>
        </w:rPr>
      </w:pPr>
      <w:r>
        <w:rPr>
          <w:color w:val="auto"/>
          <w:sz w:val="21"/>
          <w:szCs w:val="21"/>
          <w:highlight w:val="none"/>
        </w:rPr>
        <w:br w:type="page"/>
      </w:r>
    </w:p>
    <w:p w14:paraId="61A04B39">
      <w:pPr>
        <w:pStyle w:val="2"/>
        <w:keepNext/>
        <w:keepLines/>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color w:val="auto"/>
          <w:sz w:val="21"/>
          <w:szCs w:val="21"/>
          <w:highlight w:val="none"/>
        </w:rPr>
        <w:t>采购包</w:t>
      </w:r>
      <w:r>
        <w:rPr>
          <w:rFonts w:hint="eastAsia"/>
          <w:color w:val="auto"/>
          <w:sz w:val="21"/>
          <w:szCs w:val="21"/>
          <w:highlight w:val="none"/>
          <w:lang w:val="en-US" w:eastAsia="zh-CN"/>
        </w:rPr>
        <w:t>4</w:t>
      </w:r>
      <w:r>
        <w:rPr>
          <w:rFonts w:hint="eastAsia"/>
          <w:color w:val="auto"/>
          <w:sz w:val="21"/>
          <w:szCs w:val="21"/>
          <w:highlight w:val="none"/>
          <w:lang w:eastAsia="zh-CN"/>
        </w:rPr>
        <w:t>：</w:t>
      </w:r>
      <w:r>
        <w:rPr>
          <w:color w:val="auto"/>
          <w:sz w:val="21"/>
          <w:szCs w:val="21"/>
          <w:highlight w:val="none"/>
        </w:rPr>
        <w:t>（</w:t>
      </w:r>
      <w:r>
        <w:rPr>
          <w:rFonts w:hint="eastAsia"/>
          <w:b/>
          <w:color w:val="auto"/>
          <w:sz w:val="21"/>
          <w:szCs w:val="21"/>
          <w:highlight w:val="none"/>
          <w:lang w:val="en-US" w:eastAsia="zh-CN"/>
        </w:rPr>
        <w:t>2024年视频监控项目——平安乡村设备运维升级和光纤线路租赁及数据存储项目</w:t>
      </w:r>
      <w:r>
        <w:rPr>
          <w:color w:val="auto"/>
          <w:sz w:val="21"/>
          <w:szCs w:val="21"/>
          <w:highlight w:val="none"/>
        </w:rPr>
        <w:t>）</w:t>
      </w:r>
    </w:p>
    <w:p w14:paraId="5112E06F">
      <w:pPr>
        <w:pStyle w:val="11"/>
        <w:outlineLvl w:val="2"/>
        <w:rPr>
          <w:b/>
          <w:color w:val="auto"/>
          <w:sz w:val="24"/>
          <w:szCs w:val="24"/>
          <w:highlight w:val="none"/>
        </w:rPr>
      </w:pPr>
      <w:r>
        <w:rPr>
          <w:b/>
          <w:color w:val="auto"/>
          <w:sz w:val="24"/>
          <w:szCs w:val="24"/>
          <w:highlight w:val="none"/>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8230"/>
      </w:tblGrid>
      <w:tr w14:paraId="6B3CA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 w:hRule="atLeast"/>
        </w:trPr>
        <w:tc>
          <w:tcPr>
            <w:tcW w:w="1155" w:type="dxa"/>
          </w:tcPr>
          <w:p w14:paraId="0998D04F">
            <w:pPr>
              <w:pStyle w:val="11"/>
              <w:rPr>
                <w:color w:val="auto"/>
                <w:highlight w:val="none"/>
              </w:rPr>
            </w:pPr>
            <w:r>
              <w:rPr>
                <w:color w:val="auto"/>
                <w:highlight w:val="none"/>
              </w:rPr>
              <w:t>标的提供的时间</w:t>
            </w:r>
          </w:p>
        </w:tc>
        <w:tc>
          <w:tcPr>
            <w:tcW w:w="8230" w:type="dxa"/>
          </w:tcPr>
          <w:p w14:paraId="4CDA821C">
            <w:pPr>
              <w:numPr>
                <w:ilvl w:val="0"/>
                <w:numId w:val="0"/>
              </w:numPr>
              <w:snapToGrid w:val="0"/>
              <w:spacing w:line="360" w:lineRule="auto"/>
              <w:ind w:firstLine="420" w:firstLineChars="200"/>
              <w:rPr>
                <w:color w:val="auto"/>
                <w:highlight w:val="none"/>
              </w:rPr>
            </w:pPr>
            <w:r>
              <w:rPr>
                <w:rFonts w:hint="eastAsia" w:ascii="宋体" w:hAnsi="宋体" w:cs="宋体"/>
                <w:color w:val="auto"/>
                <w:kern w:val="0"/>
                <w:sz w:val="21"/>
                <w:szCs w:val="21"/>
                <w:highlight w:val="none"/>
                <w:lang w:val="en-US" w:eastAsia="zh-CN"/>
              </w:rPr>
              <w:t>合同生效之日起，中标人开始负责本项目光纤线路租赁和数据存储工作的正常运行。同时，中标人按采购人要求开展设备</w:t>
            </w:r>
            <w:r>
              <w:rPr>
                <w:rFonts w:hint="eastAsia"/>
                <w:color w:val="auto"/>
                <w:highlight w:val="none"/>
                <w:lang w:val="en-US" w:eastAsia="zh-CN"/>
              </w:rPr>
              <w:t>升级改造工作，且须在合同生效之日起60个自然日内完成</w:t>
            </w:r>
            <w:r>
              <w:rPr>
                <w:rFonts w:hint="eastAsia" w:ascii="宋体" w:hAnsi="宋体" w:cs="宋体"/>
                <w:color w:val="auto"/>
                <w:kern w:val="0"/>
                <w:sz w:val="21"/>
                <w:szCs w:val="21"/>
                <w:highlight w:val="none"/>
                <w:lang w:val="en-US" w:eastAsia="zh-CN"/>
              </w:rPr>
              <w:t>设备</w:t>
            </w:r>
            <w:r>
              <w:rPr>
                <w:rFonts w:hint="eastAsia"/>
                <w:color w:val="auto"/>
                <w:highlight w:val="none"/>
                <w:lang w:val="en-US" w:eastAsia="zh-CN"/>
              </w:rPr>
              <w:t>升级改造工作，完成后进入试运行期1个月，试运行结束后组织验收，自综合验收通过之日起进入24个月运维期</w:t>
            </w:r>
            <w:r>
              <w:rPr>
                <w:rFonts w:hint="eastAsia" w:ascii="宋体" w:hAnsi="宋体" w:eastAsia="宋体" w:cs="宋体"/>
                <w:color w:val="auto"/>
                <w:kern w:val="0"/>
                <w:sz w:val="21"/>
                <w:szCs w:val="21"/>
                <w:highlight w:val="none"/>
              </w:rPr>
              <w:t>。</w:t>
            </w:r>
          </w:p>
        </w:tc>
      </w:tr>
      <w:tr w14:paraId="6C943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1126BD98">
            <w:pPr>
              <w:pStyle w:val="11"/>
              <w:rPr>
                <w:color w:val="auto"/>
                <w:highlight w:val="none"/>
              </w:rPr>
            </w:pPr>
            <w:r>
              <w:rPr>
                <w:color w:val="auto"/>
                <w:highlight w:val="none"/>
              </w:rPr>
              <w:t>标的提供的地点</w:t>
            </w:r>
          </w:p>
        </w:tc>
        <w:tc>
          <w:tcPr>
            <w:tcW w:w="8230" w:type="dxa"/>
          </w:tcPr>
          <w:p w14:paraId="40C78D29">
            <w:pPr>
              <w:pStyle w:val="11"/>
              <w:rPr>
                <w:color w:val="auto"/>
                <w:highlight w:val="none"/>
              </w:rPr>
            </w:pPr>
            <w:r>
              <w:rPr>
                <w:color w:val="auto"/>
                <w:highlight w:val="none"/>
              </w:rPr>
              <w:t>采购人指定地点。</w:t>
            </w:r>
          </w:p>
        </w:tc>
      </w:tr>
      <w:tr w14:paraId="3E7AD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0651AAA6">
            <w:pPr>
              <w:pStyle w:val="11"/>
              <w:rPr>
                <w:color w:val="auto"/>
                <w:highlight w:val="none"/>
              </w:rPr>
            </w:pPr>
            <w:r>
              <w:rPr>
                <w:color w:val="auto"/>
                <w:highlight w:val="none"/>
              </w:rPr>
              <w:t>付款方式</w:t>
            </w:r>
          </w:p>
        </w:tc>
        <w:tc>
          <w:tcPr>
            <w:tcW w:w="8230" w:type="dxa"/>
          </w:tcPr>
          <w:p w14:paraId="78931E74">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1期：支付比例100%,</w:t>
            </w:r>
          </w:p>
          <w:p w14:paraId="416ABD75">
            <w:pPr>
              <w:pStyle w:val="11"/>
              <w:keepNext w:val="0"/>
              <w:keepLines w:val="0"/>
              <w:pageBreakBefore w:val="0"/>
              <w:widowControl/>
              <w:numPr>
                <w:ilvl w:val="0"/>
                <w:numId w:val="22"/>
              </w:numP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本项目自进入24个月运维期之日起，</w:t>
            </w:r>
            <w:r>
              <w:rPr>
                <w:rFonts w:hint="eastAsia"/>
                <w:color w:val="auto"/>
                <w:highlight w:val="none"/>
              </w:rPr>
              <w:t>按月支付</w:t>
            </w:r>
            <w:r>
              <w:rPr>
                <w:rFonts w:hint="eastAsia"/>
                <w:color w:val="auto"/>
                <w:highlight w:val="none"/>
                <w:lang w:val="en-US" w:eastAsia="zh-CN"/>
              </w:rPr>
              <w:t>合同款（每月支付金额=合同价/24个月）</w:t>
            </w:r>
            <w:r>
              <w:rPr>
                <w:rFonts w:hint="eastAsia"/>
                <w:color w:val="auto"/>
                <w:highlight w:val="none"/>
                <w:lang w:eastAsia="zh-CN"/>
              </w:rPr>
              <w:t>。中标人</w:t>
            </w:r>
            <w:r>
              <w:rPr>
                <w:rFonts w:hint="eastAsia"/>
                <w:color w:val="auto"/>
                <w:highlight w:val="none"/>
              </w:rPr>
              <w:t>开具同等金额的税务发票，采购人于次月向财政部门申请支付该</w:t>
            </w:r>
            <w:r>
              <w:rPr>
                <w:rFonts w:hint="eastAsia"/>
                <w:color w:val="auto"/>
                <w:highlight w:val="none"/>
                <w:lang w:eastAsia="zh-CN"/>
              </w:rPr>
              <w:t>月</w:t>
            </w:r>
            <w:r>
              <w:rPr>
                <w:rFonts w:hint="eastAsia"/>
                <w:color w:val="auto"/>
                <w:highlight w:val="none"/>
              </w:rPr>
              <w:t>的费</w:t>
            </w:r>
            <w:r>
              <w:rPr>
                <w:rFonts w:hint="eastAsia"/>
                <w:color w:val="auto"/>
                <w:highlight w:val="none"/>
                <w:lang w:val="en-US" w:eastAsia="zh-CN"/>
              </w:rPr>
              <w:t>用</w:t>
            </w:r>
            <w:r>
              <w:rPr>
                <w:rFonts w:hint="eastAsia"/>
                <w:color w:val="auto"/>
                <w:highlight w:val="none"/>
              </w:rPr>
              <w:t xml:space="preserve">。 </w:t>
            </w:r>
          </w:p>
          <w:p w14:paraId="582EDAFE">
            <w:pPr>
              <w:pStyle w:val="11"/>
              <w:spacing w:line="360" w:lineRule="auto"/>
              <w:rPr>
                <w:color w:val="auto"/>
                <w:highlight w:val="none"/>
              </w:rPr>
            </w:pPr>
            <w:r>
              <w:rPr>
                <w:rFonts w:hint="eastAsia"/>
                <w:color w:val="auto"/>
                <w:highlight w:val="none"/>
              </w:rPr>
              <w:t>注：</w:t>
            </w:r>
            <w:r>
              <w:rPr>
                <w:color w:val="auto"/>
                <w:highlight w:val="none"/>
              </w:rPr>
              <w:t>因采购人使用的资金为财政资金，采购</w:t>
            </w:r>
            <w:r>
              <w:rPr>
                <w:rFonts w:hint="eastAsia"/>
                <w:color w:val="auto"/>
                <w:highlight w:val="none"/>
                <w:lang w:val="en-US" w:eastAsia="zh-CN"/>
              </w:rPr>
              <w:t>人</w:t>
            </w:r>
            <w:r>
              <w:rPr>
                <w:color w:val="auto"/>
                <w:highlight w:val="none"/>
              </w:rPr>
              <w:t>支付部门提出办理财政支付申请手续的时间（不含政府财政支付部门审核的时间），在规定时间内提出支付申请手续后，不视为逾期支付。</w:t>
            </w:r>
            <w:r>
              <w:rPr>
                <w:rFonts w:hint="eastAsia"/>
                <w:color w:val="auto"/>
                <w:highlight w:val="none"/>
              </w:rPr>
              <w:t xml:space="preserve"> </w:t>
            </w:r>
          </w:p>
          <w:p w14:paraId="0491BF2E">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如项目发生合同融资，采购人应当将合同款项支付到合同约定收款账户。</w:t>
            </w:r>
          </w:p>
        </w:tc>
      </w:tr>
      <w:tr w14:paraId="3B33F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3C22EBC3">
            <w:pPr>
              <w:pStyle w:val="11"/>
              <w:rPr>
                <w:color w:val="auto"/>
                <w:highlight w:val="none"/>
              </w:rPr>
            </w:pPr>
            <w:r>
              <w:rPr>
                <w:color w:val="auto"/>
                <w:highlight w:val="none"/>
              </w:rPr>
              <w:t>验收要求</w:t>
            </w:r>
          </w:p>
        </w:tc>
        <w:tc>
          <w:tcPr>
            <w:tcW w:w="8230" w:type="dxa"/>
          </w:tcPr>
          <w:p w14:paraId="488E49CC">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1期：</w:t>
            </w:r>
            <w:r>
              <w:rPr>
                <w:color w:val="auto"/>
                <w:sz w:val="21"/>
                <w:highlight w:val="none"/>
              </w:rPr>
              <w:t>1</w:t>
            </w:r>
            <w:r>
              <w:rPr>
                <w:color w:val="auto"/>
                <w:highlight w:val="none"/>
              </w:rPr>
              <w:t>.本项目完成所有</w:t>
            </w:r>
            <w:r>
              <w:rPr>
                <w:rFonts w:hint="eastAsia"/>
                <w:color w:val="auto"/>
                <w:highlight w:val="none"/>
                <w:lang w:val="en-US" w:eastAsia="zh-CN"/>
              </w:rPr>
              <w:t>升级改造</w:t>
            </w:r>
            <w:r>
              <w:rPr>
                <w:color w:val="auto"/>
                <w:highlight w:val="none"/>
              </w:rPr>
              <w:t>设备安装调测后</w:t>
            </w:r>
            <w:r>
              <w:rPr>
                <w:rFonts w:hint="eastAsia"/>
                <w:color w:val="auto"/>
                <w:highlight w:val="none"/>
                <w:lang w:eastAsia="zh-CN"/>
              </w:rPr>
              <w:t>，</w:t>
            </w:r>
            <w:r>
              <w:rPr>
                <w:color w:val="auto"/>
                <w:highlight w:val="none"/>
              </w:rPr>
              <w:t>根据国家以及相关规定，由中标人组织</w:t>
            </w:r>
            <w:r>
              <w:rPr>
                <w:rFonts w:hint="eastAsia"/>
                <w:color w:val="auto"/>
                <w:highlight w:val="none"/>
                <w:lang w:val="en-US" w:eastAsia="zh-CN"/>
              </w:rPr>
              <w:t>相关人员进行</w:t>
            </w:r>
            <w:r>
              <w:rPr>
                <w:color w:val="auto"/>
                <w:highlight w:val="none"/>
              </w:rPr>
              <w:t>内部验收，内部验收合格后进入试运行阶段，试运行</w:t>
            </w:r>
            <w:r>
              <w:rPr>
                <w:rFonts w:hint="eastAsia"/>
                <w:color w:val="auto"/>
                <w:highlight w:val="none"/>
                <w:lang w:val="en-US" w:eastAsia="zh-CN"/>
              </w:rPr>
              <w:t>1</w:t>
            </w:r>
            <w:r>
              <w:rPr>
                <w:color w:val="auto"/>
                <w:highlight w:val="none"/>
              </w:rPr>
              <w:t>个月后，</w:t>
            </w:r>
            <w:r>
              <w:rPr>
                <w:rFonts w:hint="eastAsia"/>
                <w:color w:val="auto"/>
                <w:highlight w:val="none"/>
                <w:lang w:val="en-US" w:eastAsia="zh-CN"/>
              </w:rPr>
              <w:t>采购人</w:t>
            </w:r>
            <w:r>
              <w:rPr>
                <w:color w:val="auto"/>
                <w:highlight w:val="none"/>
              </w:rPr>
              <w:t>组织综合验收。</w:t>
            </w:r>
            <w:r>
              <w:rPr>
                <w:rFonts w:hint="eastAsia"/>
                <w:color w:val="auto"/>
                <w:sz w:val="21"/>
                <w:szCs w:val="21"/>
                <w:highlight w:val="none"/>
                <w:lang w:val="en-US" w:eastAsia="zh-CN"/>
              </w:rPr>
              <w:t>自升级改造综合验收通过后，运维期内</w:t>
            </w:r>
            <w:r>
              <w:rPr>
                <w:rFonts w:hint="eastAsia"/>
                <w:color w:val="auto"/>
                <w:sz w:val="21"/>
                <w:szCs w:val="21"/>
                <w:highlight w:val="none"/>
                <w:lang w:eastAsia="zh-CN"/>
              </w:rPr>
              <w:t>每月进行验收。</w:t>
            </w:r>
            <w:r>
              <w:rPr>
                <w:color w:val="auto"/>
                <w:sz w:val="21"/>
                <w:szCs w:val="21"/>
                <w:highlight w:val="none"/>
              </w:rPr>
              <w:t>中标人</w:t>
            </w:r>
            <w:r>
              <w:rPr>
                <w:rFonts w:hint="eastAsia"/>
                <w:color w:val="auto"/>
                <w:sz w:val="21"/>
                <w:szCs w:val="21"/>
                <w:highlight w:val="none"/>
                <w:u w:val="none"/>
                <w:lang w:val="en-US" w:eastAsia="zh-CN"/>
              </w:rPr>
              <w:t>每月</w:t>
            </w:r>
            <w:r>
              <w:rPr>
                <w:color w:val="auto"/>
                <w:sz w:val="21"/>
                <w:szCs w:val="21"/>
                <w:highlight w:val="none"/>
              </w:rPr>
              <w:t>提供</w:t>
            </w:r>
            <w:r>
              <w:rPr>
                <w:rFonts w:hint="eastAsia"/>
                <w:color w:val="auto"/>
                <w:sz w:val="21"/>
                <w:szCs w:val="21"/>
                <w:highlight w:val="none"/>
                <w:lang w:val="en-US" w:eastAsia="zh-CN"/>
              </w:rPr>
              <w:t>一次</w:t>
            </w:r>
            <w:r>
              <w:rPr>
                <w:color w:val="auto"/>
                <w:sz w:val="21"/>
                <w:szCs w:val="21"/>
                <w:highlight w:val="none"/>
              </w:rPr>
              <w:t>工作报告</w:t>
            </w:r>
            <w:r>
              <w:rPr>
                <w:rFonts w:hint="eastAsia"/>
                <w:color w:val="auto"/>
                <w:sz w:val="21"/>
                <w:szCs w:val="21"/>
                <w:highlight w:val="none"/>
                <w:lang w:eastAsia="zh-CN"/>
              </w:rPr>
              <w:t>，</w:t>
            </w:r>
            <w:r>
              <w:rPr>
                <w:color w:val="auto"/>
                <w:sz w:val="21"/>
                <w:szCs w:val="21"/>
                <w:highlight w:val="none"/>
              </w:rPr>
              <w:t>每月第一个工作周，将上月抢修、维护保养</w:t>
            </w:r>
            <w:r>
              <w:rPr>
                <w:rFonts w:hint="eastAsia"/>
                <w:color w:val="auto"/>
                <w:sz w:val="21"/>
                <w:szCs w:val="21"/>
                <w:highlight w:val="none"/>
                <w:lang w:eastAsia="zh-CN"/>
              </w:rPr>
              <w:t>、</w:t>
            </w:r>
            <w:r>
              <w:rPr>
                <w:rFonts w:hint="eastAsia"/>
                <w:color w:val="auto"/>
                <w:sz w:val="21"/>
                <w:szCs w:val="21"/>
                <w:highlight w:val="none"/>
                <w:lang w:val="en-US" w:eastAsia="zh-CN"/>
              </w:rPr>
              <w:t>故障排队等</w:t>
            </w:r>
            <w:r>
              <w:rPr>
                <w:color w:val="auto"/>
                <w:sz w:val="21"/>
                <w:szCs w:val="21"/>
                <w:highlight w:val="none"/>
              </w:rPr>
              <w:t>记录</w:t>
            </w:r>
            <w:r>
              <w:rPr>
                <w:rFonts w:hint="eastAsia"/>
                <w:color w:val="auto"/>
                <w:sz w:val="21"/>
                <w:szCs w:val="21"/>
                <w:highlight w:val="none"/>
                <w:lang w:val="en-US" w:eastAsia="zh-CN"/>
              </w:rPr>
              <w:t>整理汇编（电子档和纸质版），形成工作台账，和请款资料一并递交</w:t>
            </w:r>
            <w:r>
              <w:rPr>
                <w:rFonts w:hint="eastAsia"/>
                <w:color w:val="auto"/>
                <w:sz w:val="21"/>
                <w:szCs w:val="21"/>
                <w:highlight w:val="none"/>
                <w:u w:val="none"/>
                <w:lang w:val="en-US" w:eastAsia="zh-CN"/>
              </w:rPr>
              <w:t>采购人，如采购人出现资料不齐且未能按要求及时补正，采购人有权不支付合同款。</w:t>
            </w:r>
          </w:p>
          <w:p w14:paraId="1FCAED82">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2.验收计划及程序</w:t>
            </w:r>
          </w:p>
          <w:p w14:paraId="2751A1E4">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2.1内部验收：</w:t>
            </w:r>
          </w:p>
          <w:p w14:paraId="32713D08">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2.1.1中标人根据合同、招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要求，检查项目完成情况后</w:t>
            </w:r>
            <w:r>
              <w:rPr>
                <w:rFonts w:hint="eastAsia"/>
                <w:color w:val="auto"/>
                <w:highlight w:val="none"/>
                <w:lang w:eastAsia="zh-CN"/>
              </w:rPr>
              <w:t>，</w:t>
            </w:r>
            <w:r>
              <w:rPr>
                <w:color w:val="auto"/>
                <w:highlight w:val="none"/>
              </w:rPr>
              <w:t>向采购人提出验收申请。</w:t>
            </w:r>
          </w:p>
          <w:p w14:paraId="2FB63CE1">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2.1.2中标人提供验收材料：验收申请、完工报告、项目总结，以及要求的验收评审资料。</w:t>
            </w:r>
          </w:p>
          <w:p w14:paraId="066D7A2F">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2.1.3在符合验收的条件下，采购人组织</w:t>
            </w:r>
            <w:r>
              <w:rPr>
                <w:rFonts w:hint="eastAsia"/>
                <w:color w:val="auto"/>
                <w:highlight w:val="none"/>
                <w:lang w:val="en-US" w:eastAsia="zh-CN"/>
              </w:rPr>
              <w:t>相关</w:t>
            </w:r>
            <w:r>
              <w:rPr>
                <w:color w:val="auto"/>
                <w:highlight w:val="none"/>
              </w:rPr>
              <w:t>专业人员进行验收。</w:t>
            </w:r>
          </w:p>
          <w:p w14:paraId="365644C2">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2.2试运行：</w:t>
            </w:r>
            <w:r>
              <w:rPr>
                <w:rFonts w:hint="eastAsia"/>
                <w:color w:val="auto"/>
                <w:highlight w:val="none"/>
                <w:lang w:val="en-US" w:eastAsia="zh-CN"/>
              </w:rPr>
              <w:t>设备升级完成后，</w:t>
            </w:r>
            <w:r>
              <w:rPr>
                <w:color w:val="auto"/>
                <w:highlight w:val="none"/>
              </w:rPr>
              <w:t>项目进</w:t>
            </w:r>
            <w:r>
              <w:rPr>
                <w:rFonts w:hint="eastAsia"/>
                <w:color w:val="auto"/>
                <w:highlight w:val="none"/>
                <w:lang w:val="en-US" w:eastAsia="zh-CN"/>
              </w:rPr>
              <w:t>入1</w:t>
            </w:r>
            <w:r>
              <w:rPr>
                <w:color w:val="auto"/>
                <w:highlight w:val="none"/>
              </w:rPr>
              <w:t>个月试运</w:t>
            </w:r>
            <w:r>
              <w:rPr>
                <w:rFonts w:hint="eastAsia"/>
                <w:color w:val="auto"/>
                <w:highlight w:val="none"/>
                <w:lang w:val="en-US" w:eastAsia="zh-CN"/>
              </w:rPr>
              <w:t>行期</w:t>
            </w:r>
            <w:r>
              <w:rPr>
                <w:color w:val="auto"/>
                <w:highlight w:val="none"/>
              </w:rPr>
              <w:t>。</w:t>
            </w:r>
          </w:p>
          <w:p w14:paraId="65F530BA">
            <w:pPr>
              <w:pStyle w:val="11"/>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color w:val="auto"/>
                <w:highlight w:val="none"/>
              </w:rPr>
              <w:t>2.3综合验收：试运行</w:t>
            </w:r>
            <w:r>
              <w:rPr>
                <w:rFonts w:hint="eastAsia"/>
                <w:color w:val="auto"/>
                <w:highlight w:val="none"/>
                <w:lang w:val="en-US" w:eastAsia="zh-CN"/>
              </w:rPr>
              <w:t>结束</w:t>
            </w:r>
            <w:r>
              <w:rPr>
                <w:color w:val="auto"/>
                <w:highlight w:val="none"/>
              </w:rPr>
              <w:t>后，采购人根据合同、招</w:t>
            </w:r>
            <w:r>
              <w:rPr>
                <w:rFonts w:hint="eastAsia"/>
                <w:color w:val="auto"/>
                <w:highlight w:val="none"/>
                <w:lang w:val="en-US" w:eastAsia="zh-CN"/>
              </w:rPr>
              <w:t>投</w:t>
            </w:r>
            <w:r>
              <w:rPr>
                <w:color w:val="auto"/>
                <w:highlight w:val="none"/>
              </w:rPr>
              <w:t>标文件</w:t>
            </w:r>
            <w:r>
              <w:rPr>
                <w:rFonts w:hint="eastAsia"/>
                <w:color w:val="auto"/>
                <w:highlight w:val="none"/>
                <w:lang w:val="en-US" w:eastAsia="zh-CN"/>
              </w:rPr>
              <w:t>等</w:t>
            </w:r>
            <w:r>
              <w:rPr>
                <w:color w:val="auto"/>
                <w:highlight w:val="none"/>
              </w:rPr>
              <w:t>的相关要求，检查项目完成情况，组织综合验收。</w:t>
            </w:r>
            <w:r>
              <w:rPr>
                <w:rFonts w:hint="eastAsia"/>
                <w:color w:val="auto"/>
                <w:highlight w:val="none"/>
                <w:lang w:val="en-US" w:eastAsia="zh-CN"/>
              </w:rPr>
              <w:t>自综合验收合格通过之日起，本项目进入24个月运维期。</w:t>
            </w:r>
          </w:p>
          <w:p w14:paraId="5F2FE646">
            <w:pPr>
              <w:pStyle w:val="11"/>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r>
              <w:rPr>
                <w:color w:val="auto"/>
                <w:highlight w:val="none"/>
              </w:rPr>
              <w:t>3.</w:t>
            </w:r>
            <w:r>
              <w:rPr>
                <w:rFonts w:hint="eastAsia"/>
                <w:color w:val="auto"/>
                <w:highlight w:val="none"/>
                <w:lang w:val="en-US" w:eastAsia="zh-CN"/>
              </w:rPr>
              <w:t>中</w:t>
            </w:r>
            <w:r>
              <w:rPr>
                <w:color w:val="auto"/>
                <w:highlight w:val="none"/>
              </w:rPr>
              <w:t>标人应提前考虑可能出现的问题和风险，并提前制定应对措施，若验收不合格应尽快采取整改</w:t>
            </w:r>
            <w:r>
              <w:rPr>
                <w:rFonts w:hint="eastAsia"/>
                <w:color w:val="auto"/>
                <w:highlight w:val="none"/>
                <w:lang w:val="en-US" w:eastAsia="zh-CN"/>
              </w:rPr>
              <w:t>措施</w:t>
            </w:r>
            <w:r>
              <w:rPr>
                <w:color w:val="auto"/>
                <w:highlight w:val="none"/>
              </w:rPr>
              <w:t>调整</w:t>
            </w:r>
            <w:r>
              <w:rPr>
                <w:rFonts w:hint="eastAsia"/>
                <w:color w:val="auto"/>
                <w:highlight w:val="none"/>
                <w:lang w:eastAsia="zh-CN"/>
              </w:rPr>
              <w:t>，</w:t>
            </w:r>
            <w:r>
              <w:rPr>
                <w:color w:val="auto"/>
                <w:highlight w:val="none"/>
              </w:rPr>
              <w:t>以能达到通过验收标准。</w:t>
            </w:r>
          </w:p>
        </w:tc>
      </w:tr>
      <w:tr w14:paraId="13338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425DF7B8">
            <w:pPr>
              <w:pStyle w:val="11"/>
              <w:rPr>
                <w:color w:val="auto"/>
                <w:highlight w:val="none"/>
              </w:rPr>
            </w:pPr>
            <w:r>
              <w:rPr>
                <w:color w:val="auto"/>
                <w:highlight w:val="none"/>
              </w:rPr>
              <w:t>履约保证金</w:t>
            </w:r>
          </w:p>
        </w:tc>
        <w:tc>
          <w:tcPr>
            <w:tcW w:w="8230" w:type="dxa"/>
          </w:tcPr>
          <w:p w14:paraId="61EB2C5D">
            <w:pPr>
              <w:pStyle w:val="11"/>
              <w:rPr>
                <w:color w:val="auto"/>
                <w:highlight w:val="none"/>
              </w:rPr>
            </w:pPr>
            <w:r>
              <w:rPr>
                <w:color w:val="auto"/>
                <w:highlight w:val="none"/>
              </w:rPr>
              <w:t>不收取</w:t>
            </w:r>
          </w:p>
        </w:tc>
      </w:tr>
      <w:tr w14:paraId="037B2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14:paraId="222C3B64">
            <w:pPr>
              <w:pStyle w:val="11"/>
              <w:rPr>
                <w:color w:val="auto"/>
                <w:highlight w:val="none"/>
              </w:rPr>
            </w:pPr>
            <w:r>
              <w:rPr>
                <w:color w:val="auto"/>
                <w:highlight w:val="none"/>
              </w:rPr>
              <w:t>其他</w:t>
            </w:r>
          </w:p>
        </w:tc>
        <w:tc>
          <w:tcPr>
            <w:tcW w:w="8230" w:type="dxa"/>
          </w:tcPr>
          <w:p w14:paraId="72269368">
            <w:pPr>
              <w:pStyle w:val="11"/>
              <w:numPr>
                <w:ilvl w:val="-1"/>
                <w:numId w:val="0"/>
              </w:numPr>
              <w:ind w:left="0" w:leftChars="0" w:firstLine="420" w:firstLineChars="0"/>
              <w:jc w:val="both"/>
              <w:rPr>
                <w:rFonts w:hint="eastAsia" w:eastAsia="宋体"/>
                <w:color w:val="auto"/>
                <w:highlight w:val="none"/>
                <w:lang w:val="en-US" w:eastAsia="zh-CN"/>
              </w:rPr>
            </w:pPr>
            <w:r>
              <w:rPr>
                <w:rFonts w:hint="eastAsia"/>
                <w:color w:val="auto"/>
                <w:highlight w:val="none"/>
                <w:lang w:val="en-US" w:eastAsia="zh-CN"/>
              </w:rPr>
              <w:t>/</w:t>
            </w:r>
          </w:p>
        </w:tc>
      </w:tr>
    </w:tbl>
    <w:p w14:paraId="29109525">
      <w:pPr>
        <w:bidi w:val="0"/>
        <w:rPr>
          <w:color w:val="auto"/>
          <w:highlight w:val="none"/>
        </w:rPr>
      </w:pPr>
    </w:p>
    <w:p w14:paraId="61682545">
      <w:pPr>
        <w:pStyle w:val="11"/>
        <w:outlineLvl w:val="2"/>
        <w:rPr>
          <w:b/>
          <w:color w:val="auto"/>
          <w:sz w:val="24"/>
          <w:szCs w:val="24"/>
          <w:highlight w:val="none"/>
        </w:rPr>
      </w:pPr>
      <w:r>
        <w:rPr>
          <w:b/>
          <w:color w:val="auto"/>
          <w:sz w:val="24"/>
          <w:szCs w:val="24"/>
          <w:highlight w:val="none"/>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818"/>
        <w:gridCol w:w="1204"/>
        <w:gridCol w:w="508"/>
        <w:gridCol w:w="660"/>
        <w:gridCol w:w="1629"/>
        <w:gridCol w:w="1757"/>
        <w:gridCol w:w="1405"/>
        <w:gridCol w:w="852"/>
      </w:tblGrid>
      <w:tr w14:paraId="419BF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trPr>
        <w:tc>
          <w:tcPr>
            <w:tcW w:w="643" w:type="dxa"/>
          </w:tcPr>
          <w:p w14:paraId="4C3EACC8">
            <w:pPr>
              <w:pStyle w:val="11"/>
              <w:jc w:val="center"/>
              <w:rPr>
                <w:color w:val="auto"/>
                <w:highlight w:val="none"/>
              </w:rPr>
            </w:pPr>
            <w:r>
              <w:rPr>
                <w:color w:val="auto"/>
                <w:highlight w:val="none"/>
              </w:rPr>
              <w:t>序号</w:t>
            </w:r>
          </w:p>
        </w:tc>
        <w:tc>
          <w:tcPr>
            <w:tcW w:w="818" w:type="dxa"/>
          </w:tcPr>
          <w:p w14:paraId="4DFB41AD">
            <w:pPr>
              <w:pStyle w:val="11"/>
              <w:jc w:val="center"/>
              <w:rPr>
                <w:color w:val="auto"/>
                <w:highlight w:val="none"/>
              </w:rPr>
            </w:pPr>
            <w:r>
              <w:rPr>
                <w:color w:val="auto"/>
                <w:highlight w:val="none"/>
              </w:rPr>
              <w:t>品目名称</w:t>
            </w:r>
          </w:p>
        </w:tc>
        <w:tc>
          <w:tcPr>
            <w:tcW w:w="1204" w:type="dxa"/>
          </w:tcPr>
          <w:p w14:paraId="6F37994C">
            <w:pPr>
              <w:pStyle w:val="11"/>
              <w:jc w:val="center"/>
              <w:rPr>
                <w:color w:val="auto"/>
                <w:highlight w:val="none"/>
              </w:rPr>
            </w:pPr>
            <w:r>
              <w:rPr>
                <w:color w:val="auto"/>
                <w:highlight w:val="none"/>
              </w:rPr>
              <w:t>标的名称</w:t>
            </w:r>
          </w:p>
        </w:tc>
        <w:tc>
          <w:tcPr>
            <w:tcW w:w="508" w:type="dxa"/>
          </w:tcPr>
          <w:p w14:paraId="57D6D0F2">
            <w:pPr>
              <w:pStyle w:val="11"/>
              <w:jc w:val="center"/>
              <w:rPr>
                <w:color w:val="auto"/>
                <w:highlight w:val="none"/>
              </w:rPr>
            </w:pPr>
            <w:r>
              <w:rPr>
                <w:color w:val="auto"/>
                <w:highlight w:val="none"/>
              </w:rPr>
              <w:t>单位</w:t>
            </w:r>
          </w:p>
        </w:tc>
        <w:tc>
          <w:tcPr>
            <w:tcW w:w="660" w:type="dxa"/>
          </w:tcPr>
          <w:p w14:paraId="1A42BE17">
            <w:pPr>
              <w:pStyle w:val="11"/>
              <w:jc w:val="center"/>
              <w:rPr>
                <w:color w:val="auto"/>
                <w:highlight w:val="none"/>
              </w:rPr>
            </w:pPr>
            <w:r>
              <w:rPr>
                <w:color w:val="auto"/>
                <w:highlight w:val="none"/>
              </w:rPr>
              <w:t>数量</w:t>
            </w:r>
          </w:p>
        </w:tc>
        <w:tc>
          <w:tcPr>
            <w:tcW w:w="1629" w:type="dxa"/>
          </w:tcPr>
          <w:p w14:paraId="16E5D971">
            <w:pPr>
              <w:pStyle w:val="11"/>
              <w:jc w:val="center"/>
              <w:rPr>
                <w:color w:val="auto"/>
                <w:highlight w:val="none"/>
              </w:rPr>
            </w:pPr>
            <w:r>
              <w:rPr>
                <w:color w:val="auto"/>
                <w:highlight w:val="none"/>
              </w:rPr>
              <w:t>分项预算单价（元）</w:t>
            </w:r>
          </w:p>
        </w:tc>
        <w:tc>
          <w:tcPr>
            <w:tcW w:w="1757" w:type="dxa"/>
          </w:tcPr>
          <w:p w14:paraId="5C462E13">
            <w:pPr>
              <w:pStyle w:val="11"/>
              <w:jc w:val="center"/>
              <w:rPr>
                <w:color w:val="auto"/>
                <w:highlight w:val="none"/>
              </w:rPr>
            </w:pPr>
            <w:r>
              <w:rPr>
                <w:color w:val="auto"/>
                <w:highlight w:val="none"/>
              </w:rPr>
              <w:t>分项预算总价（元）</w:t>
            </w:r>
          </w:p>
        </w:tc>
        <w:tc>
          <w:tcPr>
            <w:tcW w:w="1405" w:type="dxa"/>
          </w:tcPr>
          <w:p w14:paraId="1A7E6F40">
            <w:pPr>
              <w:pStyle w:val="11"/>
              <w:rPr>
                <w:color w:val="auto"/>
                <w:highlight w:val="none"/>
              </w:rPr>
            </w:pPr>
            <w:r>
              <w:rPr>
                <w:color w:val="auto"/>
                <w:highlight w:val="none"/>
              </w:rPr>
              <w:t>所属行业</w:t>
            </w:r>
          </w:p>
        </w:tc>
        <w:tc>
          <w:tcPr>
            <w:tcW w:w="852" w:type="dxa"/>
          </w:tcPr>
          <w:p w14:paraId="38A74394">
            <w:pPr>
              <w:pStyle w:val="11"/>
              <w:jc w:val="center"/>
              <w:rPr>
                <w:color w:val="auto"/>
                <w:highlight w:val="none"/>
              </w:rPr>
            </w:pPr>
            <w:r>
              <w:rPr>
                <w:color w:val="auto"/>
                <w:highlight w:val="none"/>
              </w:rPr>
              <w:t>技术要求</w:t>
            </w:r>
          </w:p>
        </w:tc>
      </w:tr>
      <w:tr w14:paraId="75006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8" w:hRule="atLeast"/>
        </w:trPr>
        <w:tc>
          <w:tcPr>
            <w:tcW w:w="643" w:type="dxa"/>
            <w:vAlign w:val="center"/>
          </w:tcPr>
          <w:p w14:paraId="3F7DC363">
            <w:pPr>
              <w:pStyle w:val="11"/>
              <w:jc w:val="center"/>
              <w:rPr>
                <w:color w:val="auto"/>
                <w:highlight w:val="none"/>
              </w:rPr>
            </w:pPr>
            <w:r>
              <w:rPr>
                <w:color w:val="auto"/>
                <w:highlight w:val="none"/>
              </w:rPr>
              <w:t>1</w:t>
            </w:r>
          </w:p>
        </w:tc>
        <w:tc>
          <w:tcPr>
            <w:tcW w:w="818" w:type="dxa"/>
            <w:vAlign w:val="center"/>
          </w:tcPr>
          <w:p w14:paraId="70B0C470">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04" w:type="dxa"/>
            <w:vAlign w:val="center"/>
          </w:tcPr>
          <w:p w14:paraId="2CE01EC1">
            <w:pPr>
              <w:pStyle w:val="11"/>
              <w:jc w:val="left"/>
              <w:rPr>
                <w:rFonts w:hint="eastAsia"/>
                <w:color w:val="auto"/>
                <w:highlight w:val="none"/>
                <w:lang w:eastAsia="zh-CN"/>
              </w:rPr>
            </w:pPr>
            <w:r>
              <w:rPr>
                <w:rFonts w:hint="eastAsia"/>
                <w:b w:val="0"/>
                <w:bCs/>
                <w:color w:val="auto"/>
                <w:sz w:val="21"/>
                <w:szCs w:val="21"/>
                <w:highlight w:val="none"/>
                <w:lang w:val="en-US" w:eastAsia="zh-CN"/>
              </w:rPr>
              <w:t>平安乡村设备</w:t>
            </w:r>
            <w:r>
              <w:rPr>
                <w:rFonts w:hint="eastAsia"/>
                <w:color w:val="auto"/>
                <w:highlight w:val="none"/>
                <w:lang w:val="en-US" w:eastAsia="zh-CN"/>
              </w:rPr>
              <w:t>升级及运维</w:t>
            </w:r>
          </w:p>
        </w:tc>
        <w:tc>
          <w:tcPr>
            <w:tcW w:w="508" w:type="dxa"/>
            <w:vAlign w:val="center"/>
          </w:tcPr>
          <w:p w14:paraId="46E1B871">
            <w:pPr>
              <w:pStyle w:val="11"/>
              <w:jc w:val="center"/>
              <w:rPr>
                <w:color w:val="auto"/>
                <w:highlight w:val="none"/>
              </w:rPr>
            </w:pPr>
            <w:r>
              <w:rPr>
                <w:color w:val="auto"/>
                <w:highlight w:val="none"/>
              </w:rPr>
              <w:t>项</w:t>
            </w:r>
          </w:p>
        </w:tc>
        <w:tc>
          <w:tcPr>
            <w:tcW w:w="660" w:type="dxa"/>
            <w:vAlign w:val="center"/>
          </w:tcPr>
          <w:p w14:paraId="458F4CE5">
            <w:pPr>
              <w:pStyle w:val="11"/>
              <w:jc w:val="center"/>
              <w:rPr>
                <w:color w:val="auto"/>
                <w:highlight w:val="none"/>
              </w:rPr>
            </w:pPr>
            <w:r>
              <w:rPr>
                <w:color w:val="auto"/>
                <w:highlight w:val="none"/>
              </w:rPr>
              <w:t>1.00</w:t>
            </w:r>
          </w:p>
        </w:tc>
        <w:tc>
          <w:tcPr>
            <w:tcW w:w="1629" w:type="dxa"/>
            <w:vAlign w:val="center"/>
          </w:tcPr>
          <w:p w14:paraId="41873571">
            <w:pPr>
              <w:pStyle w:val="11"/>
              <w:jc w:val="center"/>
              <w:rPr>
                <w:rFonts w:hint="eastAsia"/>
                <w:color w:val="auto"/>
                <w:highlight w:val="none"/>
                <w:lang w:val="en-US" w:eastAsia="zh-CN"/>
              </w:rPr>
            </w:pPr>
            <w:r>
              <w:rPr>
                <w:rFonts w:hint="eastAsia"/>
                <w:color w:val="auto"/>
                <w:highlight w:val="none"/>
                <w:lang w:val="en-US" w:eastAsia="zh-CN"/>
              </w:rPr>
              <w:t>1336800.00</w:t>
            </w:r>
          </w:p>
        </w:tc>
        <w:tc>
          <w:tcPr>
            <w:tcW w:w="1757" w:type="dxa"/>
            <w:vAlign w:val="center"/>
          </w:tcPr>
          <w:p w14:paraId="4F67B4C6">
            <w:pPr>
              <w:pStyle w:val="11"/>
              <w:jc w:val="center"/>
              <w:rPr>
                <w:rFonts w:hint="eastAsia"/>
                <w:color w:val="auto"/>
                <w:highlight w:val="none"/>
                <w:lang w:val="en-US" w:eastAsia="zh-CN"/>
              </w:rPr>
            </w:pPr>
            <w:r>
              <w:rPr>
                <w:rFonts w:hint="eastAsia"/>
                <w:color w:val="auto"/>
                <w:highlight w:val="none"/>
                <w:lang w:val="en-US" w:eastAsia="zh-CN"/>
              </w:rPr>
              <w:t>1336800.00</w:t>
            </w:r>
          </w:p>
        </w:tc>
        <w:tc>
          <w:tcPr>
            <w:tcW w:w="1405" w:type="dxa"/>
            <w:vAlign w:val="center"/>
          </w:tcPr>
          <w:p w14:paraId="63326B7F">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52" w:type="dxa"/>
            <w:vAlign w:val="center"/>
          </w:tcPr>
          <w:p w14:paraId="4416BEDE">
            <w:pPr>
              <w:pStyle w:val="11"/>
              <w:jc w:val="left"/>
              <w:rPr>
                <w:rFonts w:hint="eastAsia"/>
                <w:color w:val="auto"/>
                <w:highlight w:val="none"/>
                <w:lang w:val="en-US" w:eastAsia="zh-CN"/>
              </w:rPr>
            </w:pPr>
            <w:r>
              <w:rPr>
                <w:rFonts w:hint="eastAsia"/>
                <w:color w:val="auto"/>
                <w:highlight w:val="none"/>
                <w:lang w:val="en-US" w:eastAsia="zh-CN"/>
              </w:rPr>
              <w:t>详见附表一</w:t>
            </w:r>
          </w:p>
        </w:tc>
      </w:tr>
      <w:tr w14:paraId="2FE35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24" w:hRule="atLeast"/>
        </w:trPr>
        <w:tc>
          <w:tcPr>
            <w:tcW w:w="643" w:type="dxa"/>
            <w:vAlign w:val="center"/>
          </w:tcPr>
          <w:p w14:paraId="187E2321">
            <w:pPr>
              <w:pStyle w:val="11"/>
              <w:jc w:val="center"/>
              <w:rPr>
                <w:rFonts w:hint="default" w:eastAsia="宋体"/>
                <w:color w:val="auto"/>
                <w:highlight w:val="none"/>
                <w:lang w:val="en-US" w:eastAsia="zh-CN"/>
              </w:rPr>
            </w:pPr>
            <w:r>
              <w:rPr>
                <w:rFonts w:hint="eastAsia"/>
                <w:color w:val="auto"/>
                <w:highlight w:val="none"/>
                <w:lang w:val="en-US" w:eastAsia="zh-CN"/>
              </w:rPr>
              <w:t>2</w:t>
            </w:r>
          </w:p>
        </w:tc>
        <w:tc>
          <w:tcPr>
            <w:tcW w:w="818" w:type="dxa"/>
            <w:vAlign w:val="center"/>
          </w:tcPr>
          <w:p w14:paraId="18E00432">
            <w:pPr>
              <w:pStyle w:val="11"/>
              <w:jc w:val="left"/>
              <w:rPr>
                <w:rFonts w:hint="eastAsia" w:eastAsia="宋体"/>
                <w:color w:val="auto"/>
                <w:highlight w:val="none"/>
                <w:lang w:eastAsia="zh-CN"/>
              </w:rPr>
            </w:pPr>
            <w:r>
              <w:rPr>
                <w:rFonts w:hint="eastAsia"/>
                <w:color w:val="auto"/>
                <w:highlight w:val="none"/>
                <w:lang w:eastAsia="zh-CN"/>
              </w:rPr>
              <w:t>其他运行维护服务</w:t>
            </w:r>
          </w:p>
        </w:tc>
        <w:tc>
          <w:tcPr>
            <w:tcW w:w="1204" w:type="dxa"/>
            <w:vAlign w:val="center"/>
          </w:tcPr>
          <w:p w14:paraId="6C428A79">
            <w:pPr>
              <w:pStyle w:val="11"/>
              <w:jc w:val="left"/>
              <w:rPr>
                <w:rFonts w:hint="eastAsia"/>
                <w:color w:val="auto"/>
                <w:highlight w:val="none"/>
                <w:lang w:eastAsia="zh-CN"/>
              </w:rPr>
            </w:pPr>
            <w:r>
              <w:rPr>
                <w:rFonts w:hint="eastAsia"/>
                <w:color w:val="auto"/>
                <w:highlight w:val="none"/>
                <w:lang w:val="en-US" w:eastAsia="zh-CN"/>
              </w:rPr>
              <w:t>光纤线路租赁及数据存储项目</w:t>
            </w:r>
          </w:p>
        </w:tc>
        <w:tc>
          <w:tcPr>
            <w:tcW w:w="508" w:type="dxa"/>
            <w:vAlign w:val="center"/>
          </w:tcPr>
          <w:p w14:paraId="10C404BB">
            <w:pPr>
              <w:pStyle w:val="11"/>
              <w:jc w:val="center"/>
              <w:rPr>
                <w:color w:val="auto"/>
                <w:highlight w:val="none"/>
              </w:rPr>
            </w:pPr>
            <w:r>
              <w:rPr>
                <w:color w:val="auto"/>
                <w:highlight w:val="none"/>
              </w:rPr>
              <w:t>项</w:t>
            </w:r>
          </w:p>
        </w:tc>
        <w:tc>
          <w:tcPr>
            <w:tcW w:w="660" w:type="dxa"/>
            <w:vAlign w:val="center"/>
          </w:tcPr>
          <w:p w14:paraId="5A43785D">
            <w:pPr>
              <w:pStyle w:val="11"/>
              <w:jc w:val="center"/>
              <w:rPr>
                <w:color w:val="auto"/>
                <w:highlight w:val="none"/>
              </w:rPr>
            </w:pPr>
            <w:r>
              <w:rPr>
                <w:color w:val="auto"/>
                <w:highlight w:val="none"/>
              </w:rPr>
              <w:t>1.00</w:t>
            </w:r>
          </w:p>
        </w:tc>
        <w:tc>
          <w:tcPr>
            <w:tcW w:w="1629" w:type="dxa"/>
            <w:vAlign w:val="center"/>
          </w:tcPr>
          <w:p w14:paraId="1507B25E">
            <w:pPr>
              <w:pStyle w:val="11"/>
              <w:jc w:val="center"/>
              <w:rPr>
                <w:rFonts w:hint="eastAsia"/>
                <w:color w:val="auto"/>
                <w:highlight w:val="none"/>
                <w:lang w:val="en-US" w:eastAsia="zh-CN"/>
              </w:rPr>
            </w:pPr>
            <w:r>
              <w:rPr>
                <w:rFonts w:hint="eastAsia"/>
                <w:color w:val="auto"/>
                <w:highlight w:val="none"/>
                <w:lang w:val="en-US" w:eastAsia="zh-CN"/>
              </w:rPr>
              <w:t>2160000.00</w:t>
            </w:r>
          </w:p>
        </w:tc>
        <w:tc>
          <w:tcPr>
            <w:tcW w:w="1757" w:type="dxa"/>
            <w:vAlign w:val="center"/>
          </w:tcPr>
          <w:p w14:paraId="4619411A">
            <w:pPr>
              <w:pStyle w:val="11"/>
              <w:jc w:val="center"/>
              <w:rPr>
                <w:rFonts w:hint="eastAsia"/>
                <w:color w:val="auto"/>
                <w:highlight w:val="none"/>
                <w:lang w:val="en-US" w:eastAsia="zh-CN"/>
              </w:rPr>
            </w:pPr>
            <w:r>
              <w:rPr>
                <w:rFonts w:hint="eastAsia"/>
                <w:color w:val="auto"/>
                <w:highlight w:val="none"/>
                <w:lang w:val="en-US" w:eastAsia="zh-CN"/>
              </w:rPr>
              <w:t>2160000.00</w:t>
            </w:r>
          </w:p>
        </w:tc>
        <w:tc>
          <w:tcPr>
            <w:tcW w:w="1405" w:type="dxa"/>
            <w:vAlign w:val="center"/>
          </w:tcPr>
          <w:p w14:paraId="440DFDE8">
            <w:pPr>
              <w:pStyle w:val="11"/>
              <w:jc w:val="left"/>
              <w:rPr>
                <w:rFonts w:hint="eastAsia"/>
                <w:color w:val="auto"/>
                <w:highlight w:val="none"/>
                <w:lang w:val="en-US" w:eastAsia="zh-CN"/>
              </w:rPr>
            </w:pPr>
            <w:r>
              <w:rPr>
                <w:rFonts w:hint="eastAsia"/>
                <w:color w:val="auto"/>
                <w:highlight w:val="none"/>
                <w:lang w:val="en-US" w:eastAsia="zh-CN"/>
              </w:rPr>
              <w:t>软件和信息技术服务业</w:t>
            </w:r>
          </w:p>
        </w:tc>
        <w:tc>
          <w:tcPr>
            <w:tcW w:w="852" w:type="dxa"/>
            <w:vAlign w:val="center"/>
          </w:tcPr>
          <w:p w14:paraId="2E2AC311">
            <w:pPr>
              <w:pStyle w:val="11"/>
              <w:jc w:val="left"/>
              <w:rPr>
                <w:rFonts w:hint="eastAsia"/>
                <w:color w:val="auto"/>
                <w:highlight w:val="none"/>
                <w:lang w:val="en-US" w:eastAsia="zh-CN"/>
              </w:rPr>
            </w:pPr>
            <w:r>
              <w:rPr>
                <w:rFonts w:hint="eastAsia"/>
                <w:color w:val="auto"/>
                <w:highlight w:val="none"/>
                <w:lang w:val="en-US" w:eastAsia="zh-CN"/>
              </w:rPr>
              <w:t>详见附表一</w:t>
            </w:r>
          </w:p>
        </w:tc>
      </w:tr>
    </w:tbl>
    <w:p w14:paraId="64A33CDB">
      <w:pPr>
        <w:pStyle w:val="11"/>
        <w:outlineLvl w:val="2"/>
        <w:rPr>
          <w:rFonts w:hint="eastAsia"/>
          <w:b/>
          <w:color w:val="auto"/>
          <w:highlight w:val="none"/>
          <w:lang w:eastAsia="zh-CN"/>
        </w:rPr>
      </w:pPr>
      <w:r>
        <w:rPr>
          <w:b/>
          <w:color w:val="auto"/>
          <w:highlight w:val="none"/>
        </w:rPr>
        <w:t>附表一：</w:t>
      </w:r>
      <w:r>
        <w:rPr>
          <w:rFonts w:hint="eastAsia"/>
          <w:b/>
          <w:color w:val="auto"/>
          <w:highlight w:val="none"/>
          <w:lang w:val="en-US" w:eastAsia="zh-CN"/>
        </w:rPr>
        <w:t>2024年视频监控项目——平安乡村设备运维升级和光纤线路租赁及数据存储项目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2"/>
        <w:gridCol w:w="417"/>
        <w:gridCol w:w="8736"/>
      </w:tblGrid>
      <w:tr w14:paraId="3BE7D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dxa"/>
            <w:vAlign w:val="center"/>
          </w:tcPr>
          <w:p w14:paraId="5221AED4">
            <w:pPr>
              <w:pStyle w:val="11"/>
              <w:jc w:val="center"/>
              <w:rPr>
                <w:b/>
                <w:bCs/>
                <w:color w:val="auto"/>
                <w:highlight w:val="none"/>
              </w:rPr>
            </w:pPr>
            <w:r>
              <w:rPr>
                <w:b/>
                <w:bCs/>
                <w:color w:val="auto"/>
                <w:highlight w:val="none"/>
              </w:rPr>
              <w:t>参数性质</w:t>
            </w:r>
          </w:p>
        </w:tc>
        <w:tc>
          <w:tcPr>
            <w:tcW w:w="417" w:type="dxa"/>
            <w:vAlign w:val="center"/>
          </w:tcPr>
          <w:p w14:paraId="7FA535CE">
            <w:pPr>
              <w:pStyle w:val="11"/>
              <w:jc w:val="center"/>
              <w:rPr>
                <w:b/>
                <w:bCs/>
                <w:color w:val="auto"/>
                <w:highlight w:val="none"/>
              </w:rPr>
            </w:pPr>
            <w:r>
              <w:rPr>
                <w:b/>
                <w:bCs/>
                <w:color w:val="auto"/>
                <w:highlight w:val="none"/>
              </w:rPr>
              <w:t>序号</w:t>
            </w:r>
          </w:p>
        </w:tc>
        <w:tc>
          <w:tcPr>
            <w:tcW w:w="8736" w:type="dxa"/>
            <w:vAlign w:val="center"/>
          </w:tcPr>
          <w:p w14:paraId="35EA41C7">
            <w:pPr>
              <w:pStyle w:val="11"/>
              <w:jc w:val="center"/>
              <w:rPr>
                <w:b/>
                <w:bCs/>
                <w:color w:val="auto"/>
                <w:highlight w:val="none"/>
              </w:rPr>
            </w:pPr>
            <w:r>
              <w:rPr>
                <w:b/>
                <w:bCs/>
                <w:color w:val="auto"/>
                <w:highlight w:val="none"/>
              </w:rPr>
              <w:t>具体技术(参数)要求</w:t>
            </w:r>
          </w:p>
        </w:tc>
      </w:tr>
      <w:tr w14:paraId="43854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dxa"/>
          </w:tcPr>
          <w:p w14:paraId="328488AE">
            <w:pPr>
              <w:rPr>
                <w:color w:val="auto"/>
                <w:highlight w:val="none"/>
              </w:rPr>
            </w:pPr>
          </w:p>
        </w:tc>
        <w:tc>
          <w:tcPr>
            <w:tcW w:w="417" w:type="dxa"/>
          </w:tcPr>
          <w:p w14:paraId="7C62E1F8">
            <w:pPr>
              <w:pStyle w:val="11"/>
              <w:jc w:val="center"/>
              <w:rPr>
                <w:color w:val="auto"/>
                <w:highlight w:val="none"/>
              </w:rPr>
            </w:pPr>
            <w:r>
              <w:rPr>
                <w:color w:val="auto"/>
                <w:highlight w:val="none"/>
              </w:rPr>
              <w:t>1</w:t>
            </w:r>
          </w:p>
        </w:tc>
        <w:tc>
          <w:tcPr>
            <w:tcW w:w="8736" w:type="dxa"/>
          </w:tcPr>
          <w:p w14:paraId="2D648504">
            <w:pPr>
              <w:pStyle w:val="11"/>
              <w:numPr>
                <w:ilvl w:val="0"/>
                <w:numId w:val="0"/>
              </w:numPr>
              <w:jc w:val="both"/>
              <w:rPr>
                <w:rFonts w:hint="eastAsia" w:ascii="宋体" w:hAnsi="宋体" w:eastAsia="宋体" w:cs="宋体"/>
                <w:b/>
                <w:bCs/>
                <w:color w:val="auto"/>
                <w:sz w:val="21"/>
                <w:szCs w:val="21"/>
                <w:highlight w:val="none"/>
                <w:shd w:val="clear" w:color="auto" w:fill="FFFFFF"/>
                <w:lang w:eastAsia="zh-CN"/>
              </w:rPr>
            </w:pPr>
            <w:r>
              <w:rPr>
                <w:rFonts w:hint="eastAsia" w:ascii="宋体" w:hAnsi="宋体" w:cs="宋体"/>
                <w:b/>
                <w:bCs/>
                <w:color w:val="auto"/>
                <w:sz w:val="21"/>
                <w:szCs w:val="21"/>
                <w:highlight w:val="none"/>
                <w:shd w:val="clear" w:color="auto" w:fill="FFFFFF"/>
                <w:lang w:eastAsia="zh-CN"/>
              </w:rPr>
              <w:t>一、</w:t>
            </w:r>
            <w:r>
              <w:rPr>
                <w:rFonts w:hint="eastAsia" w:ascii="宋体" w:hAnsi="宋体" w:eastAsia="宋体" w:cs="宋体"/>
                <w:b/>
                <w:bCs/>
                <w:color w:val="auto"/>
                <w:sz w:val="21"/>
                <w:szCs w:val="21"/>
                <w:highlight w:val="none"/>
                <w:shd w:val="clear" w:color="auto" w:fill="FFFFFF"/>
                <w:lang w:eastAsia="zh-CN"/>
              </w:rPr>
              <w:t>项目要求</w:t>
            </w:r>
          </w:p>
          <w:p w14:paraId="5A54FEDC">
            <w:pPr>
              <w:pStyle w:val="11"/>
              <w:numPr>
                <w:ilvl w:val="0"/>
                <w:numId w:val="0"/>
              </w:numPr>
              <w:ind w:firstLine="420" w:firstLineChars="200"/>
              <w:jc w:val="both"/>
              <w:rPr>
                <w:color w:val="auto"/>
                <w:sz w:val="21"/>
                <w:szCs w:val="21"/>
                <w:highlight w:val="none"/>
              </w:rPr>
            </w:pPr>
            <w:r>
              <w:rPr>
                <w:rFonts w:hint="eastAsia"/>
                <w:color w:val="auto"/>
                <w:sz w:val="21"/>
                <w:szCs w:val="21"/>
                <w:highlight w:val="none"/>
                <w:lang w:val="en-US" w:eastAsia="zh-CN"/>
              </w:rPr>
              <w:t>1.</w:t>
            </w:r>
            <w:r>
              <w:rPr>
                <w:rFonts w:hint="eastAsia"/>
                <w:b w:val="0"/>
                <w:bCs/>
                <w:color w:val="auto"/>
                <w:sz w:val="21"/>
                <w:szCs w:val="21"/>
                <w:highlight w:val="none"/>
                <w:lang w:val="en-US" w:eastAsia="zh-CN"/>
              </w:rPr>
              <w:t>平安乡村</w:t>
            </w:r>
            <w:r>
              <w:rPr>
                <w:rFonts w:hint="eastAsia"/>
                <w:color w:val="auto"/>
                <w:sz w:val="21"/>
                <w:szCs w:val="21"/>
                <w:highlight w:val="none"/>
                <w:lang w:val="en-US" w:eastAsia="zh-CN"/>
              </w:rPr>
              <w:t>设备升级及运维服务:1500个点位，</w:t>
            </w:r>
            <w:r>
              <w:rPr>
                <w:rFonts w:hint="eastAsia"/>
                <w:b w:val="0"/>
                <w:bCs/>
                <w:color w:val="auto"/>
                <w:sz w:val="21"/>
                <w:szCs w:val="21"/>
                <w:highlight w:val="none"/>
                <w:lang w:val="en-US" w:eastAsia="zh-CN"/>
              </w:rPr>
              <w:t>平安乡村</w:t>
            </w:r>
            <w:r>
              <w:rPr>
                <w:rFonts w:hint="eastAsia"/>
                <w:color w:val="auto"/>
                <w:sz w:val="21"/>
                <w:szCs w:val="21"/>
                <w:highlight w:val="none"/>
                <w:lang w:val="en-US" w:eastAsia="zh-CN"/>
              </w:rPr>
              <w:t>光纤线路租赁及数据存储服务:1500个点位。</w:t>
            </w:r>
            <w:r>
              <w:rPr>
                <w:rFonts w:hint="eastAsia"/>
                <w:b/>
                <w:bCs/>
                <w:color w:val="auto"/>
                <w:highlight w:val="none"/>
                <w:lang w:eastAsia="zh-CN"/>
              </w:rPr>
              <w:t>点位表</w:t>
            </w:r>
            <w:r>
              <w:rPr>
                <w:rFonts w:hint="eastAsia"/>
                <w:b/>
                <w:bCs/>
                <w:color w:val="auto"/>
                <w:highlight w:val="none"/>
                <w:lang w:val="en-US" w:eastAsia="zh-CN"/>
              </w:rPr>
              <w:t>详见附件，具体以采购人实际指定为准</w:t>
            </w:r>
            <w:r>
              <w:rPr>
                <w:rFonts w:hint="eastAsia"/>
                <w:color w:val="auto"/>
                <w:sz w:val="21"/>
                <w:szCs w:val="21"/>
                <w:highlight w:val="none"/>
                <w:lang w:eastAsia="zh-CN"/>
              </w:rPr>
              <w:t>。</w:t>
            </w:r>
          </w:p>
          <w:p w14:paraId="01C566BF">
            <w:pPr>
              <w:pStyle w:val="11"/>
              <w:numPr>
                <w:ilvl w:val="0"/>
                <w:numId w:val="0"/>
              </w:numPr>
              <w:jc w:val="both"/>
              <w:rPr>
                <w:rFonts w:hint="eastAsia" w:ascii="宋体" w:hAnsi="宋体" w:eastAsia="宋体" w:cs="宋体"/>
                <w:color w:val="auto"/>
                <w:sz w:val="24"/>
                <w:highlight w:val="none"/>
                <w:shd w:val="clear" w:color="auto" w:fill="FFFFFF"/>
                <w:lang w:val="en-US" w:eastAsia="zh-CN"/>
              </w:rPr>
            </w:pPr>
          </w:p>
        </w:tc>
      </w:tr>
      <w:tr w14:paraId="52929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dxa"/>
          </w:tcPr>
          <w:p w14:paraId="18E357FA">
            <w:pPr>
              <w:rPr>
                <w:color w:val="auto"/>
                <w:highlight w:val="none"/>
              </w:rPr>
            </w:pPr>
          </w:p>
        </w:tc>
        <w:tc>
          <w:tcPr>
            <w:tcW w:w="417" w:type="dxa"/>
          </w:tcPr>
          <w:p w14:paraId="27771556">
            <w:pPr>
              <w:pStyle w:val="11"/>
              <w:jc w:val="center"/>
              <w:rPr>
                <w:color w:val="auto"/>
                <w:highlight w:val="none"/>
              </w:rPr>
            </w:pPr>
            <w:r>
              <w:rPr>
                <w:color w:val="auto"/>
                <w:highlight w:val="none"/>
              </w:rPr>
              <w:t>2</w:t>
            </w:r>
          </w:p>
        </w:tc>
        <w:tc>
          <w:tcPr>
            <w:tcW w:w="8736" w:type="dxa"/>
          </w:tcPr>
          <w:p w14:paraId="38B6849F">
            <w:pPr>
              <w:pStyle w:val="11"/>
              <w:numPr>
                <w:ilvl w:val="0"/>
                <w:numId w:val="17"/>
              </w:numPr>
              <w:ind w:left="0" w:leftChars="0" w:firstLine="0" w:firstLineChars="0"/>
              <w:jc w:val="both"/>
              <w:rPr>
                <w:b/>
                <w:color w:val="auto"/>
                <w:sz w:val="21"/>
                <w:highlight w:val="none"/>
              </w:rPr>
            </w:pPr>
            <w:r>
              <w:rPr>
                <w:rFonts w:hint="eastAsia"/>
                <w:b/>
                <w:bCs/>
                <w:color w:val="auto"/>
                <w:highlight w:val="none"/>
                <w:lang w:eastAsia="zh-CN"/>
              </w:rPr>
              <w:t>设备升级改造清单</w:t>
            </w:r>
            <w:r>
              <w:rPr>
                <w:b/>
                <w:color w:val="auto"/>
                <w:sz w:val="21"/>
                <w:highlight w:val="none"/>
              </w:rPr>
              <w:t>及其参数要求</w:t>
            </w:r>
          </w:p>
          <w:p w14:paraId="527D6338">
            <w:pPr>
              <w:pStyle w:val="11"/>
              <w:numPr>
                <w:ilvl w:val="0"/>
                <w:numId w:val="0"/>
              </w:numPr>
              <w:ind w:firstLine="420" w:firstLineChars="200"/>
              <w:jc w:val="both"/>
              <w:rPr>
                <w:rFonts w:hint="eastAsia"/>
                <w:color w:val="auto"/>
                <w:sz w:val="21"/>
                <w:highlight w:val="none"/>
                <w:lang w:val="en-US" w:eastAsia="zh-CN"/>
              </w:rPr>
            </w:pPr>
            <w:r>
              <w:rPr>
                <w:color w:val="auto"/>
                <w:sz w:val="21"/>
                <w:highlight w:val="none"/>
              </w:rPr>
              <w:t>本系统的建设坚持“技术上先进，使用上实用，经济上合理”的原则。为确保系统的实用性、可靠性，所选用的设备应符合相关的国家标准和行业标准。并根据项目功能要求，系统建设的设备的技术参数均应不低于以下技术指标要求。</w:t>
            </w:r>
          </w:p>
          <w:p w14:paraId="0368B412">
            <w:pPr>
              <w:pStyle w:val="11"/>
              <w:jc w:val="both"/>
              <w:rPr>
                <w:b/>
                <w:color w:val="auto"/>
                <w:sz w:val="21"/>
                <w:highlight w:val="none"/>
              </w:rPr>
            </w:pPr>
            <w:r>
              <w:rPr>
                <w:rFonts w:hint="eastAsia"/>
                <w:color w:val="auto"/>
                <w:sz w:val="21"/>
                <w:highlight w:val="none"/>
                <w:lang w:val="en-US" w:eastAsia="zh-CN"/>
              </w:rPr>
              <w:t>1、设备升级改造清单</w:t>
            </w:r>
          </w:p>
          <w:tbl>
            <w:tblPr>
              <w:tblStyle w:val="8"/>
              <w:tblW w:w="7857"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3917"/>
              <w:gridCol w:w="1137"/>
              <w:gridCol w:w="2080"/>
            </w:tblGrid>
            <w:tr w14:paraId="1D75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F5A1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A7DC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rPr>
                    <w:t>设备名称</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EE3C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rPr>
                    <w:t>单位</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495A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lang w:val="en-US" w:eastAsia="zh-CN"/>
                    </w:rPr>
                    <w:t>数量</w:t>
                  </w:r>
                </w:p>
              </w:tc>
            </w:tr>
            <w:tr w14:paraId="0BA2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119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E021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rPr>
                    <w:t>AI枪机</w:t>
                  </w:r>
                  <w:r>
                    <w:rPr>
                      <w:rFonts w:hint="eastAsia" w:ascii="宋体" w:hAnsi="宋体" w:cs="宋体"/>
                      <w:i w:val="0"/>
                      <w:iCs w:val="0"/>
                      <w:color w:val="auto"/>
                      <w:kern w:val="0"/>
                      <w:sz w:val="21"/>
                      <w:szCs w:val="21"/>
                      <w:highlight w:val="none"/>
                      <w:u w:val="none"/>
                      <w:lang w:val="en-US" w:eastAsia="zh-CN"/>
                    </w:rPr>
                    <w:t>（含安装支架）</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77E6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6DE3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500.000</w:t>
                  </w:r>
                </w:p>
              </w:tc>
            </w:tr>
            <w:tr w14:paraId="57EC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exac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BA0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3CD3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人脸抓拍摄摄像机（含安装支架）</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7CF3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5B60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20.000</w:t>
                  </w:r>
                </w:p>
              </w:tc>
            </w:tr>
            <w:tr w14:paraId="66D7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39E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04E3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监控配件和220V模块化电源防雷保护器</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2EAB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B653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520.000</w:t>
                  </w:r>
                </w:p>
              </w:tc>
            </w:tr>
            <w:tr w14:paraId="38C2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exac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82F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F91B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防水设备箱</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DFFF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EAC4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520.000</w:t>
                  </w:r>
                </w:p>
              </w:tc>
            </w:tr>
            <w:tr w14:paraId="4008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F6E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BFF1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摄像机电源</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7F2B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架(台)</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5BA6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520.000</w:t>
                  </w:r>
                </w:p>
              </w:tc>
            </w:tr>
            <w:tr w14:paraId="03E3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BEE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2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51A0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128GB内存卡</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0B22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台/套</w:t>
                  </w:r>
                </w:p>
              </w:tc>
              <w:tc>
                <w:tcPr>
                  <w:tcW w:w="1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EE1F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520.000</w:t>
                  </w:r>
                </w:p>
              </w:tc>
            </w:tr>
          </w:tbl>
          <w:p w14:paraId="65E813EB">
            <w:pPr>
              <w:pStyle w:val="11"/>
              <w:numPr>
                <w:ilvl w:val="0"/>
                <w:numId w:val="0"/>
              </w:numPr>
              <w:jc w:val="both"/>
              <w:rPr>
                <w:color w:val="auto"/>
                <w:sz w:val="21"/>
                <w:highlight w:val="none"/>
              </w:rPr>
            </w:pPr>
          </w:p>
          <w:p w14:paraId="011A9474">
            <w:pPr>
              <w:pStyle w:val="11"/>
              <w:numPr>
                <w:ilvl w:val="0"/>
                <w:numId w:val="0"/>
              </w:numPr>
              <w:jc w:val="both"/>
              <w:rPr>
                <w:color w:val="auto"/>
                <w:sz w:val="21"/>
                <w:highlight w:val="none"/>
              </w:rPr>
            </w:pPr>
          </w:p>
          <w:p w14:paraId="4758F1C1">
            <w:pPr>
              <w:pStyle w:val="11"/>
              <w:jc w:val="both"/>
              <w:rPr>
                <w:rFonts w:hint="default" w:eastAsia="宋体"/>
                <w:b/>
                <w:bCs/>
                <w:color w:val="auto"/>
                <w:highlight w:val="none"/>
                <w:lang w:val="en-US" w:eastAsia="zh-CN"/>
              </w:rPr>
            </w:pPr>
            <w:r>
              <w:rPr>
                <w:rFonts w:hint="eastAsia"/>
                <w:b/>
                <w:bCs/>
                <w:color w:val="auto"/>
                <w:highlight w:val="none"/>
                <w:lang w:val="en-US" w:eastAsia="zh-CN"/>
              </w:rPr>
              <w:t>2、详细技术参数</w:t>
            </w:r>
          </w:p>
          <w:tbl>
            <w:tblPr>
              <w:tblStyle w:val="8"/>
              <w:tblW w:w="8414"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
              <w:gridCol w:w="666"/>
              <w:gridCol w:w="7351"/>
            </w:tblGrid>
            <w:tr w14:paraId="5E70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2A1D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D758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0DEA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参数要求</w:t>
                  </w:r>
                </w:p>
              </w:tc>
            </w:tr>
            <w:tr w14:paraId="5FD5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6FC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3196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18"/>
                      <w:szCs w:val="18"/>
                      <w:highlight w:val="none"/>
                      <w:u w:val="none"/>
                      <w:lang w:val="en-US" w:eastAsia="zh-CN" w:bidi="ar"/>
                    </w:rPr>
                  </w:pPr>
                </w:p>
                <w:p w14:paraId="1DAD0E7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rPr>
                    <w:t>AI枪机</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939F4">
                  <w:pPr>
                    <w:keepNext w:val="0"/>
                    <w:keepLines w:val="0"/>
                    <w:pageBreakBefore w:val="0"/>
                    <w:widowControl/>
                    <w:suppressLineNumbers w:val="0"/>
                    <w:kinsoku/>
                    <w:wordWrap/>
                    <w:overflowPunct/>
                    <w:topLinePunct w:val="0"/>
                    <w:autoSpaceDE/>
                    <w:autoSpaceDN/>
                    <w:bidi w:val="0"/>
                    <w:adjustRightInd/>
                    <w:snapToGrid/>
                    <w:spacing w:line="180" w:lineRule="atLeast"/>
                    <w:jc w:val="left"/>
                    <w:textAlignment w:val="center"/>
                    <w:rPr>
                      <w:rFonts w:hint="eastAsia" w:ascii="宋体" w:hAnsi="宋体" w:eastAsia="宋体" w:cs="宋体"/>
                      <w:i w:val="0"/>
                      <w:iCs w:val="0"/>
                      <w:color w:val="auto"/>
                      <w:sz w:val="18"/>
                      <w:szCs w:val="18"/>
                      <w:highlight w:val="none"/>
                      <w:u w:val="none"/>
                    </w:rPr>
                  </w:pPr>
                </w:p>
                <w:tbl>
                  <w:tblPr>
                    <w:tblStyle w:val="8"/>
                    <w:tblW w:w="6939" w:type="dxa"/>
                    <w:tblInd w:w="0" w:type="dxa"/>
                    <w:tblLayout w:type="autofit"/>
                    <w:tblCellMar>
                      <w:top w:w="0" w:type="dxa"/>
                      <w:left w:w="108" w:type="dxa"/>
                      <w:bottom w:w="0" w:type="dxa"/>
                      <w:right w:w="108" w:type="dxa"/>
                    </w:tblCellMar>
                  </w:tblPr>
                  <w:tblGrid>
                    <w:gridCol w:w="614"/>
                    <w:gridCol w:w="6325"/>
                  </w:tblGrid>
                  <w:tr w14:paraId="5B76AA9E">
                    <w:tblPrEx>
                      <w:tblCellMar>
                        <w:top w:w="0" w:type="dxa"/>
                        <w:left w:w="108" w:type="dxa"/>
                        <w:bottom w:w="0" w:type="dxa"/>
                        <w:right w:w="108" w:type="dxa"/>
                      </w:tblCellMar>
                    </w:tblPrEx>
                    <w:trPr>
                      <w:trHeight w:val="597" w:hRule="atLeast"/>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3AE6BD2E">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6325" w:type="dxa"/>
                        <w:tcBorders>
                          <w:top w:val="single" w:color="auto" w:sz="4" w:space="0"/>
                          <w:left w:val="nil"/>
                          <w:bottom w:val="single" w:color="auto" w:sz="4" w:space="0"/>
                          <w:right w:val="single" w:color="auto" w:sz="4" w:space="0"/>
                        </w:tcBorders>
                        <w:shd w:val="clear" w:color="auto" w:fill="auto"/>
                        <w:vAlign w:val="center"/>
                      </w:tcPr>
                      <w:p w14:paraId="4BC03C84">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技术功能需求</w:t>
                        </w:r>
                      </w:p>
                    </w:tc>
                  </w:tr>
                  <w:tr w14:paraId="23BF9B7B">
                    <w:tblPrEx>
                      <w:tblCellMar>
                        <w:top w:w="0" w:type="dxa"/>
                        <w:left w:w="108" w:type="dxa"/>
                        <w:bottom w:w="0" w:type="dxa"/>
                        <w:right w:w="108" w:type="dxa"/>
                      </w:tblCellMar>
                    </w:tblPrEx>
                    <w:trPr>
                      <w:trHeight w:val="1771"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78446E03">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325" w:type="dxa"/>
                        <w:tcBorders>
                          <w:top w:val="nil"/>
                          <w:left w:val="nil"/>
                          <w:bottom w:val="single" w:color="auto" w:sz="4" w:space="0"/>
                          <w:right w:val="single" w:color="auto" w:sz="4" w:space="0"/>
                        </w:tcBorders>
                        <w:shd w:val="clear" w:color="auto" w:fill="auto"/>
                        <w:vAlign w:val="center"/>
                      </w:tcPr>
                      <w:p w14:paraId="1DCCACE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同时对检测区域内出现的人脸、人体、非机动车、车辆及车牌进行检测、框选、筛选抓拍，存储抓拍的图片，并支持识别、存储、上报车牌号码；支持关联显示人脸和人体图片、车牌和车辆图片，支持新能源车牌的抓拍和识别。（需提供公安部检测机构出具的检测报告复印件证明，添加注明招标项目名称的水印，并加盖制造商投标专用章或公章）。</w:t>
                        </w:r>
                      </w:p>
                    </w:tc>
                  </w:tr>
                  <w:tr w14:paraId="0932FAE9">
                    <w:tblPrEx>
                      <w:tblCellMar>
                        <w:top w:w="0" w:type="dxa"/>
                        <w:left w:w="108" w:type="dxa"/>
                        <w:bottom w:w="0" w:type="dxa"/>
                        <w:right w:w="108" w:type="dxa"/>
                      </w:tblCellMar>
                    </w:tblPrEx>
                    <w:trPr>
                      <w:trHeight w:val="890"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1ABBE794">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325" w:type="dxa"/>
                        <w:tcBorders>
                          <w:top w:val="nil"/>
                          <w:left w:val="nil"/>
                          <w:bottom w:val="single" w:color="auto" w:sz="4" w:space="0"/>
                          <w:right w:val="single" w:color="auto" w:sz="4" w:space="0"/>
                        </w:tcBorders>
                        <w:shd w:val="clear" w:color="auto" w:fill="auto"/>
                        <w:vAlign w:val="center"/>
                      </w:tcPr>
                      <w:p w14:paraId="279E5455">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▲设备支持不低于16颗补光灯，支持远光灯、近光灯，当环境照度降低至一定值时，设备可自动开启补光灯补光，设备在白天、夜晚均应输出彩色视频图像。</w:t>
                        </w:r>
                      </w:p>
                    </w:tc>
                  </w:tr>
                  <w:tr w14:paraId="1D711B9E">
                    <w:tblPrEx>
                      <w:tblCellMar>
                        <w:top w:w="0" w:type="dxa"/>
                        <w:left w:w="108" w:type="dxa"/>
                        <w:bottom w:w="0" w:type="dxa"/>
                        <w:right w:w="108" w:type="dxa"/>
                      </w:tblCellMar>
                    </w:tblPrEx>
                    <w:trPr>
                      <w:trHeight w:val="1184"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38F5F84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325" w:type="dxa"/>
                        <w:tcBorders>
                          <w:top w:val="nil"/>
                          <w:left w:val="nil"/>
                          <w:bottom w:val="single" w:color="auto" w:sz="4" w:space="0"/>
                          <w:right w:val="single" w:color="auto" w:sz="4" w:space="0"/>
                        </w:tcBorders>
                        <w:shd w:val="clear" w:color="auto" w:fill="auto"/>
                        <w:vAlign w:val="center"/>
                      </w:tcPr>
                      <w:p w14:paraId="3CABC7FC">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▲镜头和补光灯分舱体左右布局，镜头舱体凸出补光平面。（需提供公安部检测机构出具的检测报告复印件证明，添加注明招标项目名称的水印，并加盖制造商投标专用章或公章）。</w:t>
                        </w:r>
                      </w:p>
                    </w:tc>
                  </w:tr>
                  <w:tr w14:paraId="21129485">
                    <w:tblPrEx>
                      <w:tblCellMar>
                        <w:top w:w="0" w:type="dxa"/>
                        <w:left w:w="108" w:type="dxa"/>
                        <w:bottom w:w="0" w:type="dxa"/>
                        <w:right w:w="108" w:type="dxa"/>
                      </w:tblCellMar>
                    </w:tblPrEx>
                    <w:trPr>
                      <w:trHeight w:val="1184"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4511A5E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325" w:type="dxa"/>
                        <w:tcBorders>
                          <w:top w:val="nil"/>
                          <w:left w:val="nil"/>
                          <w:bottom w:val="single" w:color="auto" w:sz="4" w:space="0"/>
                          <w:right w:val="single" w:color="auto" w:sz="4" w:space="0"/>
                        </w:tcBorders>
                        <w:shd w:val="clear" w:color="auto" w:fill="auto"/>
                        <w:vAlign w:val="center"/>
                      </w:tcPr>
                      <w:p w14:paraId="1542F712">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支持输出2560×1440@25fps主码流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内置CPU/GPU/NPU智能算法芯片。支持GB35114 A级安全加密，GB28181、GA1400标准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支持实时定位功能，支持北斗定位模式，可在监控画面</w:t>
                        </w:r>
                        <w:r>
                          <w:rPr>
                            <w:rFonts w:hint="eastAsia" w:ascii="宋体" w:hAnsi="宋体" w:cs="宋体"/>
                            <w:color w:val="auto"/>
                            <w:kern w:val="0"/>
                            <w:sz w:val="21"/>
                            <w:szCs w:val="21"/>
                            <w:highlight w:val="none"/>
                            <w:lang w:eastAsia="zh-CN"/>
                          </w:rPr>
                          <w:t>按国标模式</w:t>
                        </w:r>
                        <w:r>
                          <w:rPr>
                            <w:rFonts w:hint="eastAsia" w:ascii="宋体" w:hAnsi="宋体" w:cs="宋体"/>
                            <w:color w:val="auto"/>
                            <w:kern w:val="0"/>
                            <w:sz w:val="21"/>
                            <w:szCs w:val="21"/>
                            <w:highlight w:val="none"/>
                          </w:rPr>
                          <w:t>叠加</w:t>
                        </w:r>
                        <w:r>
                          <w:rPr>
                            <w:rFonts w:hint="eastAsia" w:ascii="宋体" w:hAnsi="宋体" w:cs="宋体"/>
                            <w:color w:val="auto"/>
                            <w:kern w:val="0"/>
                            <w:sz w:val="21"/>
                            <w:szCs w:val="21"/>
                            <w:highlight w:val="none"/>
                            <w:lang w:val="en-US" w:eastAsia="zh-CN"/>
                          </w:rPr>
                          <w:t>OSD</w:t>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lang w:eastAsia="zh-CN"/>
                          </w:rPr>
                          <w:t>。</w:t>
                        </w:r>
                      </w:p>
                    </w:tc>
                  </w:tr>
                  <w:tr w14:paraId="005C20EE">
                    <w:tblPrEx>
                      <w:tblCellMar>
                        <w:top w:w="0" w:type="dxa"/>
                        <w:left w:w="108" w:type="dxa"/>
                        <w:bottom w:w="0" w:type="dxa"/>
                        <w:right w:w="108" w:type="dxa"/>
                      </w:tblCellMar>
                    </w:tblPrEx>
                    <w:trPr>
                      <w:trHeight w:val="597"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0E63B59C">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6325" w:type="dxa"/>
                        <w:tcBorders>
                          <w:top w:val="nil"/>
                          <w:left w:val="nil"/>
                          <w:bottom w:val="single" w:color="auto" w:sz="4" w:space="0"/>
                          <w:right w:val="single" w:color="auto" w:sz="4" w:space="0"/>
                        </w:tcBorders>
                        <w:shd w:val="clear" w:color="auto" w:fill="auto"/>
                        <w:vAlign w:val="center"/>
                      </w:tcPr>
                      <w:p w14:paraId="6380D3CF">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光源设计减少对蚊虫吸引，镜灯分离，减少蚊虫、蜘蛛对视窗画面的干扰；高分子涂层和圆润前盖，降低蜘蛛结网概率。</w:t>
                        </w:r>
                      </w:p>
                    </w:tc>
                  </w:tr>
                  <w:tr w14:paraId="43A9B271">
                    <w:tblPrEx>
                      <w:tblCellMar>
                        <w:top w:w="0" w:type="dxa"/>
                        <w:left w:w="108" w:type="dxa"/>
                        <w:bottom w:w="0" w:type="dxa"/>
                        <w:right w:w="108" w:type="dxa"/>
                      </w:tblCellMar>
                    </w:tblPrEx>
                    <w:trPr>
                      <w:trHeight w:val="890"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1F82A684">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325" w:type="dxa"/>
                        <w:tcBorders>
                          <w:top w:val="nil"/>
                          <w:left w:val="nil"/>
                          <w:bottom w:val="single" w:color="auto" w:sz="4" w:space="0"/>
                          <w:right w:val="single" w:color="auto" w:sz="4" w:space="0"/>
                        </w:tcBorders>
                        <w:shd w:val="clear" w:color="auto" w:fill="auto"/>
                        <w:vAlign w:val="center"/>
                      </w:tcPr>
                      <w:p w14:paraId="2E34B909">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支持对出现在监控场景内的两眼瞳距不小于40像素的人脸进行检测</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支持侧脸过滤功能，可过滤上下、左右倾斜角度超过预设值的人脸</w:t>
                        </w:r>
                      </w:p>
                    </w:tc>
                  </w:tr>
                  <w:tr w14:paraId="44C3F84A">
                    <w:tblPrEx>
                      <w:tblCellMar>
                        <w:top w:w="0" w:type="dxa"/>
                        <w:left w:w="108" w:type="dxa"/>
                        <w:bottom w:w="0" w:type="dxa"/>
                        <w:right w:w="108" w:type="dxa"/>
                      </w:tblCellMar>
                    </w:tblPrEx>
                    <w:trPr>
                      <w:trHeight w:val="1193" w:hRule="atLeast"/>
                    </w:trPr>
                    <w:tc>
                      <w:tcPr>
                        <w:tcW w:w="614" w:type="dxa"/>
                        <w:tcBorders>
                          <w:top w:val="nil"/>
                          <w:left w:val="single" w:color="auto" w:sz="4" w:space="0"/>
                          <w:bottom w:val="single" w:color="auto" w:sz="4" w:space="0"/>
                          <w:right w:val="single" w:color="auto" w:sz="4" w:space="0"/>
                        </w:tcBorders>
                        <w:shd w:val="clear" w:color="auto" w:fill="auto"/>
                        <w:vAlign w:val="center"/>
                      </w:tcPr>
                      <w:p w14:paraId="7A2D3F07">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6325" w:type="dxa"/>
                        <w:tcBorders>
                          <w:top w:val="nil"/>
                          <w:left w:val="nil"/>
                          <w:bottom w:val="single" w:color="auto" w:sz="4" w:space="0"/>
                          <w:right w:val="single" w:color="auto" w:sz="4" w:space="0"/>
                        </w:tcBorders>
                        <w:shd w:val="clear" w:color="auto" w:fill="auto"/>
                        <w:vAlign w:val="center"/>
                      </w:tcPr>
                      <w:p w14:paraId="1454254F">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内置1个麦克风，1个扬声器，支持1路报警输入，1路报警输出，1路音频输入，1路音频输出，1个定位模块，1个RS485接口，支持DC12V/POE供电。</w:t>
                        </w:r>
                      </w:p>
                    </w:tc>
                  </w:tr>
                </w:tbl>
                <w:p w14:paraId="478CF64E">
                  <w:pPr>
                    <w:pStyle w:val="4"/>
                    <w:rPr>
                      <w:rFonts w:hint="eastAsia"/>
                      <w:color w:val="auto"/>
                      <w:highlight w:val="none"/>
                    </w:rPr>
                  </w:pPr>
                </w:p>
              </w:tc>
            </w:tr>
            <w:tr w14:paraId="4DBE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065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711E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人脸抓拍摄摄像机</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4E68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kern w:val="0"/>
                      <w:sz w:val="20"/>
                      <w:szCs w:val="20"/>
                      <w:highlight w:val="none"/>
                      <w:u w:val="none"/>
                      <w:lang w:val="en-US" w:eastAsia="zh-CN" w:bidi="ar"/>
                    </w:rPr>
                  </w:pPr>
                </w:p>
                <w:tbl>
                  <w:tblPr>
                    <w:tblStyle w:val="8"/>
                    <w:tblW w:w="0" w:type="auto"/>
                    <w:tblInd w:w="0" w:type="dxa"/>
                    <w:tblLayout w:type="autofit"/>
                    <w:tblCellMar>
                      <w:top w:w="0" w:type="dxa"/>
                      <w:left w:w="108" w:type="dxa"/>
                      <w:bottom w:w="0" w:type="dxa"/>
                      <w:right w:w="108" w:type="dxa"/>
                    </w:tblCellMar>
                  </w:tblPr>
                  <w:tblGrid>
                    <w:gridCol w:w="618"/>
                    <w:gridCol w:w="6512"/>
                  </w:tblGrid>
                  <w:tr w14:paraId="58AFADC7">
                    <w:tblPrEx>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161AFD">
                        <w:pPr>
                          <w:widowControl/>
                          <w:spacing w:line="240" w:lineRule="auto"/>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14:paraId="2516044C">
                        <w:pPr>
                          <w:widowControl/>
                          <w:spacing w:line="240" w:lineRule="auto"/>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技术功能需求</w:t>
                        </w:r>
                      </w:p>
                    </w:tc>
                  </w:tr>
                  <w:tr w14:paraId="16DC2D59">
                    <w:tblPrEx>
                      <w:tblCellMar>
                        <w:top w:w="0" w:type="dxa"/>
                        <w:left w:w="108" w:type="dxa"/>
                        <w:bottom w:w="0" w:type="dxa"/>
                        <w:right w:w="108" w:type="dxa"/>
                      </w:tblCellMar>
                    </w:tblPrEx>
                    <w:trPr>
                      <w:trHeight w:val="5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AA97C9">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0" w:type="auto"/>
                        <w:tcBorders>
                          <w:top w:val="nil"/>
                          <w:left w:val="nil"/>
                          <w:bottom w:val="single" w:color="auto" w:sz="4" w:space="0"/>
                          <w:right w:val="single" w:color="auto" w:sz="4" w:space="0"/>
                        </w:tcBorders>
                        <w:shd w:val="clear" w:color="auto" w:fill="auto"/>
                        <w:vAlign w:val="center"/>
                      </w:tcPr>
                      <w:p w14:paraId="398DFAD2">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设备内置不少于2个全景通道和1个细节通道，细节最大分辨率不小于2688 × 1520。</w:t>
                        </w:r>
                      </w:p>
                    </w:tc>
                  </w:tr>
                  <w:tr w14:paraId="2D914130">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C467C1">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0" w:type="auto"/>
                        <w:tcBorders>
                          <w:top w:val="nil"/>
                          <w:left w:val="nil"/>
                          <w:bottom w:val="single" w:color="auto" w:sz="4" w:space="0"/>
                          <w:right w:val="single" w:color="auto" w:sz="4" w:space="0"/>
                        </w:tcBorders>
                        <w:shd w:val="clear" w:color="auto" w:fill="auto"/>
                        <w:vAlign w:val="center"/>
                      </w:tcPr>
                      <w:p w14:paraId="64CD2855">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支持最低照度不劣于彩色0.0002lx，黑白0.0001lx。</w:t>
                        </w:r>
                      </w:p>
                    </w:tc>
                  </w:tr>
                  <w:tr w14:paraId="78CAB277">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7E8F07">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0" w:type="auto"/>
                        <w:tcBorders>
                          <w:top w:val="nil"/>
                          <w:left w:val="nil"/>
                          <w:bottom w:val="single" w:color="auto" w:sz="4" w:space="0"/>
                          <w:right w:val="single" w:color="auto" w:sz="4" w:space="0"/>
                        </w:tcBorders>
                        <w:shd w:val="clear" w:color="auto" w:fill="auto"/>
                        <w:vAlign w:val="center"/>
                      </w:tcPr>
                      <w:p w14:paraId="6A41C90C">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支持白光补光不小于30米，红外补光不小于100米。</w:t>
                        </w:r>
                      </w:p>
                    </w:tc>
                  </w:tr>
                  <w:tr w14:paraId="46D8AF23">
                    <w:tblPrEx>
                      <w:tblCellMar>
                        <w:top w:w="0" w:type="dxa"/>
                        <w:left w:w="108" w:type="dxa"/>
                        <w:bottom w:w="0" w:type="dxa"/>
                        <w:right w:w="108" w:type="dxa"/>
                      </w:tblCellMar>
                    </w:tblPrEx>
                    <w:trPr>
                      <w:trHeight w:val="1773"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2D68A8">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0" w:type="auto"/>
                        <w:tcBorders>
                          <w:top w:val="nil"/>
                          <w:left w:val="nil"/>
                          <w:bottom w:val="single" w:color="auto" w:sz="4" w:space="0"/>
                          <w:right w:val="single" w:color="auto" w:sz="4" w:space="0"/>
                        </w:tcBorders>
                        <w:shd w:val="clear" w:color="auto" w:fill="auto"/>
                        <w:vAlign w:val="center"/>
                      </w:tcPr>
                      <w:p w14:paraId="5014BE63">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▲支持设备设置全景拼接模式、全景非拼接模式，全景拼接模式下，全景通道支持分辨率不小于3680 × 1656；在全景不拼接模式下，可输出3个通道画面，全景通道1和全景通道2支持分辨率不小于1920 × 1632。（需提供公安部检测机构出具的检测报告复印件证明，添加注明招标项目名称的水印，并加盖制造商投标专用章或公章）</w:t>
                        </w:r>
                      </w:p>
                    </w:tc>
                  </w:tr>
                  <w:tr w14:paraId="61B3D694">
                    <w:tblPrEx>
                      <w:tblCellMar>
                        <w:top w:w="0" w:type="dxa"/>
                        <w:left w:w="108" w:type="dxa"/>
                        <w:bottom w:w="0" w:type="dxa"/>
                        <w:right w:w="108" w:type="dxa"/>
                      </w:tblCellMar>
                    </w:tblPrEx>
                    <w:trPr>
                      <w:trHeight w:val="5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C39D06">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0" w:type="auto"/>
                        <w:tcBorders>
                          <w:top w:val="nil"/>
                          <w:left w:val="nil"/>
                          <w:bottom w:val="single" w:color="auto" w:sz="4" w:space="0"/>
                          <w:right w:val="single" w:color="auto" w:sz="4" w:space="0"/>
                        </w:tcBorders>
                        <w:shd w:val="clear" w:color="auto" w:fill="auto"/>
                        <w:vAlign w:val="center"/>
                      </w:tcPr>
                      <w:p w14:paraId="486B9159">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全景焦距不劣于2.8mm；细节通道支持不小于25倍光学变倍，最大焦距不小于120mm。</w:t>
                        </w:r>
                      </w:p>
                    </w:tc>
                  </w:tr>
                  <w:tr w14:paraId="3AF4580D">
                    <w:tblPrEx>
                      <w:tblCellMar>
                        <w:top w:w="0" w:type="dxa"/>
                        <w:left w:w="108" w:type="dxa"/>
                        <w:bottom w:w="0" w:type="dxa"/>
                        <w:right w:w="108" w:type="dxa"/>
                      </w:tblCellMar>
                    </w:tblPrEx>
                    <w:trPr>
                      <w:trHeight w:val="1653"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3BD50A">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0" w:type="auto"/>
                        <w:tcBorders>
                          <w:top w:val="nil"/>
                          <w:left w:val="nil"/>
                          <w:bottom w:val="single" w:color="auto" w:sz="4" w:space="0"/>
                          <w:right w:val="single" w:color="auto" w:sz="4" w:space="0"/>
                        </w:tcBorders>
                        <w:shd w:val="clear" w:color="auto" w:fill="auto"/>
                        <w:vAlign w:val="center"/>
                      </w:tcPr>
                      <w:p w14:paraId="5168C257">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细节通道:水平:0°～360°垂直:-10°～90°；支持全景通道1和全景通道2分别内置1个麦克风，麦克风可随镜头一起进行旋转，旋转范围至少符合：水平：0°～90°，垂直：0°～350°，轴心方向：0°～350°。（需提供公安部检测机构出具的检测报告复印件证明，添加注明招标项目名称的水印，并加盖制造商投标专用章或公章）</w:t>
                        </w:r>
                      </w:p>
                    </w:tc>
                  </w:tr>
                  <w:tr w14:paraId="5573903A">
                    <w:tblPrEx>
                      <w:tblCellMar>
                        <w:top w:w="0" w:type="dxa"/>
                        <w:left w:w="108" w:type="dxa"/>
                        <w:bottom w:w="0" w:type="dxa"/>
                        <w:right w:w="108" w:type="dxa"/>
                      </w:tblCellMar>
                    </w:tblPrEx>
                    <w:trPr>
                      <w:trHeight w:val="112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E2B966">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0" w:type="auto"/>
                        <w:tcBorders>
                          <w:top w:val="nil"/>
                          <w:left w:val="nil"/>
                          <w:bottom w:val="single" w:color="auto" w:sz="4" w:space="0"/>
                          <w:right w:val="single" w:color="auto" w:sz="4" w:space="0"/>
                        </w:tcBorders>
                        <w:shd w:val="clear" w:color="auto" w:fill="auto"/>
                        <w:vAlign w:val="center"/>
                      </w:tcPr>
                      <w:p w14:paraId="76EF4D40">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细节镜头、全景1镜头和全景2镜头可分开进行水平垂直方向调节，全景1镜头进行水平、垂直调节时，全景镜头2可保持不动；全景1镜头和全景2镜头进行水平垂直方向调节时，细节镜头可保持不变。</w:t>
                        </w:r>
                      </w:p>
                    </w:tc>
                  </w:tr>
                  <w:tr w14:paraId="4000BD42">
                    <w:tblPrEx>
                      <w:tblCellMar>
                        <w:top w:w="0" w:type="dxa"/>
                        <w:left w:w="108" w:type="dxa"/>
                        <w:bottom w:w="0" w:type="dxa"/>
                        <w:right w:w="108" w:type="dxa"/>
                      </w:tblCellMar>
                    </w:tblPrEx>
                    <w:trPr>
                      <w:trHeight w:val="5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70E433">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0" w:type="auto"/>
                        <w:tcBorders>
                          <w:top w:val="nil"/>
                          <w:left w:val="nil"/>
                          <w:bottom w:val="single" w:color="auto" w:sz="4" w:space="0"/>
                          <w:right w:val="single" w:color="auto" w:sz="4" w:space="0"/>
                        </w:tcBorders>
                        <w:shd w:val="clear" w:color="auto" w:fill="auto"/>
                        <w:vAlign w:val="center"/>
                      </w:tcPr>
                      <w:p w14:paraId="7EEF5E47">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设备支持不少于300个预置位，可按照所设置的预置位设置不少于8条巡航路径。</w:t>
                        </w:r>
                      </w:p>
                    </w:tc>
                  </w:tr>
                  <w:tr w14:paraId="62C68D00">
                    <w:tblPrEx>
                      <w:tblCellMar>
                        <w:top w:w="0" w:type="dxa"/>
                        <w:left w:w="108" w:type="dxa"/>
                        <w:bottom w:w="0" w:type="dxa"/>
                        <w:right w:w="108" w:type="dxa"/>
                      </w:tblCellMar>
                    </w:tblPrEx>
                    <w:trPr>
                      <w:trHeight w:val="5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69635E">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0" w:type="auto"/>
                        <w:tcBorders>
                          <w:top w:val="nil"/>
                          <w:left w:val="nil"/>
                          <w:bottom w:val="single" w:color="auto" w:sz="4" w:space="0"/>
                          <w:right w:val="single" w:color="auto" w:sz="4" w:space="0"/>
                        </w:tcBorders>
                        <w:shd w:val="clear" w:color="auto" w:fill="auto"/>
                        <w:vAlign w:val="center"/>
                      </w:tcPr>
                      <w:p w14:paraId="2115F78C">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支持H.264、H.265、MJPEG视频编码格式，可将H.264、H.265格式设置为High Profile。</w:t>
                        </w:r>
                      </w:p>
                    </w:tc>
                  </w:tr>
                  <w:tr w14:paraId="421F9ADF">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1C1C5A">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0" w:type="auto"/>
                        <w:tcBorders>
                          <w:top w:val="nil"/>
                          <w:left w:val="nil"/>
                          <w:bottom w:val="single" w:color="auto" w:sz="4" w:space="0"/>
                          <w:right w:val="single" w:color="auto" w:sz="4" w:space="0"/>
                        </w:tcBorders>
                        <w:shd w:val="clear" w:color="auto" w:fill="auto"/>
                        <w:vAlign w:val="center"/>
                      </w:tcPr>
                      <w:p w14:paraId="2F78A35B">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支持GB35114 A级安全加密，GB28181、GA1400标准</w:t>
                        </w:r>
                      </w:p>
                    </w:tc>
                  </w:tr>
                  <w:tr w14:paraId="2658CB5F">
                    <w:tblPrEx>
                      <w:tblCellMar>
                        <w:top w:w="0" w:type="dxa"/>
                        <w:left w:w="108" w:type="dxa"/>
                        <w:bottom w:w="0" w:type="dxa"/>
                        <w:right w:w="108" w:type="dxa"/>
                      </w:tblCellMar>
                    </w:tblPrEx>
                    <w:trPr>
                      <w:trHeight w:val="178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853B6C">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0" w:type="auto"/>
                        <w:tcBorders>
                          <w:top w:val="nil"/>
                          <w:left w:val="nil"/>
                          <w:bottom w:val="single" w:color="auto" w:sz="4" w:space="0"/>
                          <w:right w:val="single" w:color="auto" w:sz="4" w:space="0"/>
                        </w:tcBorders>
                        <w:shd w:val="clear" w:color="auto" w:fill="auto"/>
                        <w:vAlign w:val="center"/>
                      </w:tcPr>
                      <w:p w14:paraId="7F4572FA">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通道可分别或同时对行人、非机动车、机动车进行检测、跟随、抓拍，支持人脸、车牌、非机动车车牌抠图，可将人脸与人体关联显示；支持非机动车逆行、载人、未戴头盔属性的报警，可联动语音播报，语音内容可自定义。（需提供公安部检测机构出具的检测报告复印件证明，添加注明招标项目名称的水印，并加盖制造商投标专用章或公章）</w:t>
                        </w:r>
                      </w:p>
                    </w:tc>
                  </w:tr>
                  <w:tr w14:paraId="690E99E6">
                    <w:tblPrEx>
                      <w:tblCellMar>
                        <w:top w:w="0" w:type="dxa"/>
                        <w:left w:w="108" w:type="dxa"/>
                        <w:bottom w:w="0" w:type="dxa"/>
                        <w:right w:w="108" w:type="dxa"/>
                      </w:tblCellMar>
                    </w:tblPrEx>
                    <w:trPr>
                      <w:trHeight w:val="5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7EBA61">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0" w:type="auto"/>
                        <w:tcBorders>
                          <w:top w:val="nil"/>
                          <w:left w:val="nil"/>
                          <w:bottom w:val="single" w:color="auto" w:sz="4" w:space="0"/>
                          <w:right w:val="single" w:color="auto" w:sz="4" w:space="0"/>
                        </w:tcBorders>
                        <w:shd w:val="clear" w:color="auto" w:fill="auto"/>
                        <w:vAlign w:val="center"/>
                      </w:tcPr>
                      <w:p w14:paraId="13C0DDED">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设备支持双安装接口，1个为快速旋转安装接口，1个为多孔稳定安装接口。</w:t>
                        </w:r>
                      </w:p>
                    </w:tc>
                  </w:tr>
                  <w:tr w14:paraId="6FD37B14">
                    <w:tblPrEx>
                      <w:tblCellMar>
                        <w:top w:w="0" w:type="dxa"/>
                        <w:left w:w="108" w:type="dxa"/>
                        <w:bottom w:w="0" w:type="dxa"/>
                        <w:right w:w="108" w:type="dxa"/>
                      </w:tblCellMar>
                    </w:tblPrEx>
                    <w:trPr>
                      <w:trHeight w:val="5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32ED5C">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0" w:type="auto"/>
                        <w:tcBorders>
                          <w:top w:val="nil"/>
                          <w:left w:val="nil"/>
                          <w:bottom w:val="single" w:color="auto" w:sz="4" w:space="0"/>
                          <w:right w:val="single" w:color="auto" w:sz="4" w:space="0"/>
                        </w:tcBorders>
                        <w:shd w:val="clear" w:color="auto" w:fill="auto"/>
                        <w:vAlign w:val="center"/>
                      </w:tcPr>
                      <w:p w14:paraId="6CC8D655">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细节通道支持smart事件、全结构化模式，智能功能可任意选择保存生效。</w:t>
                        </w:r>
                      </w:p>
                    </w:tc>
                  </w:tr>
                  <w:tr w14:paraId="1A0F54C6">
                    <w:tblPrEx>
                      <w:tblCellMar>
                        <w:top w:w="0" w:type="dxa"/>
                        <w:left w:w="108" w:type="dxa"/>
                        <w:bottom w:w="0" w:type="dxa"/>
                        <w:right w:w="108" w:type="dxa"/>
                      </w:tblCellMar>
                    </w:tblPrEx>
                    <w:trPr>
                      <w:trHeight w:val="16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25A661">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0" w:type="auto"/>
                        <w:tcBorders>
                          <w:top w:val="nil"/>
                          <w:left w:val="nil"/>
                          <w:bottom w:val="single" w:color="auto" w:sz="4" w:space="0"/>
                          <w:right w:val="single" w:color="auto" w:sz="4" w:space="0"/>
                        </w:tcBorders>
                        <w:shd w:val="clear" w:color="auto" w:fill="auto"/>
                        <w:vAlign w:val="center"/>
                      </w:tcPr>
                      <w:p w14:paraId="026C9150">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通道支持一键拼接功能，可将2个全景画面进行拼接输出，在拼接模式下，设备可输出全景和细节2个视频画面，在非拼接模式下，设备可输出全景通道1、全景通道2和细节通道共3个视频画面。（需提供公安部检测机构出具的检测报告复印件证明，添加注明招标项目名称的水印，并加盖制造商投标专用章或公章）</w:t>
                        </w:r>
                      </w:p>
                    </w:tc>
                  </w:tr>
                  <w:tr w14:paraId="6BDDAFDE">
                    <w:tblPrEx>
                      <w:tblCellMar>
                        <w:top w:w="0" w:type="dxa"/>
                        <w:left w:w="108" w:type="dxa"/>
                        <w:bottom w:w="0" w:type="dxa"/>
                        <w:right w:w="108" w:type="dxa"/>
                      </w:tblCellMar>
                    </w:tblPrEx>
                    <w:trPr>
                      <w:trHeight w:val="16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33F7F0">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0" w:type="auto"/>
                        <w:tcBorders>
                          <w:top w:val="nil"/>
                          <w:left w:val="nil"/>
                          <w:bottom w:val="single" w:color="auto" w:sz="4" w:space="0"/>
                          <w:right w:val="single" w:color="auto" w:sz="4" w:space="0"/>
                        </w:tcBorders>
                        <w:shd w:val="clear" w:color="auto" w:fill="auto"/>
                        <w:vAlign w:val="center"/>
                      </w:tcPr>
                      <w:p w14:paraId="39BB9206">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通道1和全景通道2支持锁紧装置，在松开锁紧装置后，全景1通道和全景2通道可进行水平和垂直调节；在紧固锁紧装置后，全景1通道和全景2通道不可以进行水平和垂直调节。（需提供公安部检测机构出具的检测报告复印件证明，添加注明招标项目名称的水印，并加盖制造商投标专用章或公章）</w:t>
                        </w:r>
                      </w:p>
                    </w:tc>
                  </w:tr>
                  <w:tr w14:paraId="766E9ECD">
                    <w:tblPrEx>
                      <w:tblCellMar>
                        <w:top w:w="0" w:type="dxa"/>
                        <w:left w:w="108" w:type="dxa"/>
                        <w:bottom w:w="0" w:type="dxa"/>
                        <w:right w:w="108" w:type="dxa"/>
                      </w:tblCellMar>
                    </w:tblPrEx>
                    <w:trPr>
                      <w:trHeight w:val="84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B0C0A0">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0" w:type="auto"/>
                        <w:tcBorders>
                          <w:top w:val="nil"/>
                          <w:left w:val="nil"/>
                          <w:bottom w:val="single" w:color="auto" w:sz="4" w:space="0"/>
                          <w:right w:val="single" w:color="auto" w:sz="4" w:space="0"/>
                        </w:tcBorders>
                        <w:shd w:val="clear" w:color="auto" w:fill="auto"/>
                        <w:vAlign w:val="center"/>
                      </w:tcPr>
                      <w:p w14:paraId="41DA8009">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全景摄像机可输出2个镜头无缝拼接的全景图像，拼接后的全景画面水平视场角应≥175°，垂直视场角≥75°</w:t>
                        </w:r>
                      </w:p>
                    </w:tc>
                  </w:tr>
                  <w:tr w14:paraId="14929412">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CF0DE5">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0" w:type="auto"/>
                        <w:tcBorders>
                          <w:top w:val="nil"/>
                          <w:left w:val="nil"/>
                          <w:bottom w:val="single" w:color="auto" w:sz="4" w:space="0"/>
                          <w:right w:val="single" w:color="auto" w:sz="4" w:space="0"/>
                        </w:tcBorders>
                        <w:shd w:val="clear" w:color="auto" w:fill="auto"/>
                        <w:vAlign w:val="center"/>
                      </w:tcPr>
                      <w:p w14:paraId="7E54C18F">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设备具有语音对讲设置</w:t>
                        </w:r>
                      </w:p>
                    </w:tc>
                  </w:tr>
                  <w:tr w14:paraId="23EB8746">
                    <w:tblPrEx>
                      <w:tblCellMar>
                        <w:top w:w="0" w:type="dxa"/>
                        <w:left w:w="108" w:type="dxa"/>
                        <w:bottom w:w="0" w:type="dxa"/>
                        <w:right w:w="108" w:type="dxa"/>
                      </w:tblCellMar>
                    </w:tblPrEx>
                    <w:trPr>
                      <w:trHeight w:val="112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473999">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0" w:type="auto"/>
                        <w:tcBorders>
                          <w:top w:val="nil"/>
                          <w:left w:val="nil"/>
                          <w:bottom w:val="single" w:color="auto" w:sz="4" w:space="0"/>
                          <w:right w:val="single" w:color="auto" w:sz="4" w:space="0"/>
                        </w:tcBorders>
                        <w:shd w:val="clear" w:color="auto" w:fill="auto"/>
                        <w:vAlign w:val="center"/>
                      </w:tcPr>
                      <w:p w14:paraId="0579923B">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设备支持不少于2路报警输入，不少于1路报警输出，不少于1路音频输入，不少于1路音频输出，不少于2个麦克风，不少于1个扬声器、不少于1个SD卡槽，不少于1个RJ45网口，不少于1个485接口。</w:t>
                        </w:r>
                      </w:p>
                    </w:tc>
                  </w:tr>
                  <w:tr w14:paraId="65E7273F">
                    <w:tblPrEx>
                      <w:tblCellMar>
                        <w:top w:w="0" w:type="dxa"/>
                        <w:left w:w="108" w:type="dxa"/>
                        <w:bottom w:w="0" w:type="dxa"/>
                        <w:right w:w="108" w:type="dxa"/>
                      </w:tblCellMar>
                    </w:tblPrEx>
                    <w:trPr>
                      <w:trHeight w:val="5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B157DB">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0" w:type="auto"/>
                        <w:tcBorders>
                          <w:top w:val="nil"/>
                          <w:left w:val="nil"/>
                          <w:bottom w:val="single" w:color="auto" w:sz="4" w:space="0"/>
                          <w:right w:val="single" w:color="auto" w:sz="4" w:space="0"/>
                        </w:tcBorders>
                        <w:shd w:val="clear" w:color="auto" w:fill="auto"/>
                        <w:vAlign w:val="center"/>
                      </w:tcPr>
                      <w:p w14:paraId="378434B7">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不低于IP67防水防尘等级；不低于6000V防雷、防浪涌、防突波，符合GB/T17626.2/3/4/5/6四级标准</w:t>
                        </w:r>
                      </w:p>
                    </w:tc>
                  </w:tr>
                  <w:tr w14:paraId="1F1E46E4">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D982C3">
                        <w:pPr>
                          <w:widowControl/>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20</w:t>
                        </w:r>
                      </w:p>
                    </w:tc>
                    <w:tc>
                      <w:tcPr>
                        <w:tcW w:w="0" w:type="auto"/>
                        <w:tcBorders>
                          <w:top w:val="nil"/>
                          <w:left w:val="nil"/>
                          <w:bottom w:val="single" w:color="auto" w:sz="4" w:space="0"/>
                          <w:right w:val="single" w:color="auto" w:sz="4" w:space="0"/>
                        </w:tcBorders>
                        <w:shd w:val="clear" w:color="auto" w:fill="auto"/>
                        <w:vAlign w:val="center"/>
                      </w:tcPr>
                      <w:p w14:paraId="067A5BBE">
                        <w:pPr>
                          <w:widowControl/>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工作温湿度：不低于-30℃~60℃</w:t>
                        </w:r>
                      </w:p>
                    </w:tc>
                  </w:tr>
                </w:tbl>
                <w:p w14:paraId="6F3D402B">
                  <w:pPr>
                    <w:pStyle w:val="4"/>
                    <w:rPr>
                      <w:rFonts w:hint="eastAsia"/>
                      <w:color w:val="auto"/>
                      <w:sz w:val="20"/>
                      <w:szCs w:val="20"/>
                      <w:highlight w:val="none"/>
                      <w:lang w:val="en-US" w:eastAsia="zh-CN"/>
                    </w:rPr>
                  </w:pPr>
                </w:p>
              </w:tc>
            </w:tr>
            <w:tr w14:paraId="18EC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ED2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24C4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监控配件和220V模块化电源防雷保护器</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F1C6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1、信号电涌保护器安装 智能监测型标准导轨卡接式模块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2、信号电涌保护器安装 标准导轨卡接式模块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3、信号电涌保护器及配件 1、名称:220V模块化电源防雷保护器                                                                 2、型号:导轨式1+1防雷模块                                                                              3、规格:最大放电电流40KA</w:t>
                  </w:r>
                </w:p>
              </w:tc>
            </w:tr>
            <w:tr w14:paraId="79B4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2"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C29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0A79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防水设备箱</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0A96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1、名称:设备箱                                                                                                  2、材质:SPCC冷轧碳钢                                                                                    3、规格:尺寸300*400*160mm，带散热风扇，排插，空气开关，静电喷涂图案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4、满足项目要求</w:t>
                  </w:r>
                </w:p>
              </w:tc>
            </w:tr>
            <w:tr w14:paraId="571B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D1D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77C7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摄像机电源</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A8B9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1、开关电源(A以内) 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2、开关电源 AC24 2A</w:t>
                  </w:r>
                </w:p>
              </w:tc>
            </w:tr>
            <w:tr w14:paraId="12F2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34F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5C0E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128GB内存卡</w:t>
                  </w:r>
                </w:p>
              </w:tc>
              <w:tc>
                <w:tcPr>
                  <w:tcW w:w="4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1712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1、接口卡安装、调试 多用户卡/视频卡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2、128GB内存卡 1. 存储卡支持标准microSD接口，具备至少128GB容量。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支持最大读取速度不低于95MB/S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支持最大写入速度不低于60MB/S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 支持稳定读取速度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＞92MB/s ，稳定写入速度＞57MB/s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 存储卡具备读写锁定功能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 TLC晶元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 存储卡支持健康监测和寿命预警功能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 存储卡工作温度至少为0℃~+70℃</w:t>
                  </w:r>
                </w:p>
              </w:tc>
            </w:tr>
          </w:tbl>
          <w:p w14:paraId="0921E7E8">
            <w:pPr>
              <w:pStyle w:val="11"/>
              <w:jc w:val="both"/>
              <w:rPr>
                <w:rFonts w:hint="default" w:eastAsia="宋体"/>
                <w:color w:val="auto"/>
                <w:highlight w:val="none"/>
                <w:lang w:val="en-US" w:eastAsia="zh-CN"/>
              </w:rPr>
            </w:pPr>
          </w:p>
        </w:tc>
      </w:tr>
      <w:tr w14:paraId="1C1F5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dxa"/>
          </w:tcPr>
          <w:p w14:paraId="4DB32970">
            <w:pPr>
              <w:rPr>
                <w:color w:val="auto"/>
                <w:highlight w:val="none"/>
              </w:rPr>
            </w:pPr>
          </w:p>
        </w:tc>
        <w:tc>
          <w:tcPr>
            <w:tcW w:w="417" w:type="dxa"/>
          </w:tcPr>
          <w:p w14:paraId="174EDCA2">
            <w:pPr>
              <w:pStyle w:val="11"/>
              <w:jc w:val="center"/>
              <w:rPr>
                <w:rFonts w:hint="default" w:eastAsia="宋体"/>
                <w:color w:val="auto"/>
                <w:highlight w:val="none"/>
                <w:lang w:val="en-US" w:eastAsia="zh-CN"/>
              </w:rPr>
            </w:pPr>
            <w:r>
              <w:rPr>
                <w:rFonts w:hint="eastAsia"/>
                <w:color w:val="auto"/>
                <w:highlight w:val="none"/>
                <w:lang w:val="en-US" w:eastAsia="zh-CN"/>
              </w:rPr>
              <w:t>3</w:t>
            </w:r>
          </w:p>
        </w:tc>
        <w:tc>
          <w:tcPr>
            <w:tcW w:w="8736" w:type="dxa"/>
          </w:tcPr>
          <w:p w14:paraId="6E7D04C9">
            <w:pPr>
              <w:pStyle w:val="11"/>
              <w:numPr>
                <w:ilvl w:val="0"/>
                <w:numId w:val="0"/>
              </w:numPr>
              <w:jc w:val="both"/>
              <w:rPr>
                <w:rFonts w:hint="eastAsia"/>
                <w:b/>
                <w:bCs/>
                <w:color w:val="auto"/>
                <w:highlight w:val="none"/>
                <w:lang w:eastAsia="zh-CN"/>
              </w:rPr>
            </w:pPr>
            <w:r>
              <w:rPr>
                <w:rFonts w:hint="eastAsia"/>
                <w:b/>
                <w:bCs/>
                <w:color w:val="auto"/>
                <w:highlight w:val="none"/>
                <w:lang w:eastAsia="zh-CN"/>
              </w:rPr>
              <w:t>三、设备维护内容</w:t>
            </w:r>
          </w:p>
          <w:tbl>
            <w:tblPr>
              <w:tblStyle w:val="9"/>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69"/>
              <w:gridCol w:w="3760"/>
              <w:gridCol w:w="757"/>
              <w:gridCol w:w="1284"/>
            </w:tblGrid>
            <w:tr w14:paraId="6AB4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33ACCE6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序号</w:t>
                  </w:r>
                </w:p>
              </w:tc>
              <w:tc>
                <w:tcPr>
                  <w:tcW w:w="1769" w:type="dxa"/>
                  <w:vAlign w:val="center"/>
                </w:tcPr>
                <w:p w14:paraId="66F07D8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项目名称</w:t>
                  </w:r>
                </w:p>
              </w:tc>
              <w:tc>
                <w:tcPr>
                  <w:tcW w:w="3760" w:type="dxa"/>
                  <w:vAlign w:val="center"/>
                </w:tcPr>
                <w:p w14:paraId="1A270D23">
                  <w:pPr>
                    <w:pStyle w:val="11"/>
                    <w:widowControl w:val="0"/>
                    <w:numPr>
                      <w:ilvl w:val="0"/>
                      <w:numId w:val="0"/>
                    </w:numPr>
                    <w:jc w:val="center"/>
                    <w:rPr>
                      <w:rFonts w:hint="eastAsia"/>
                      <w:b/>
                      <w:bCs/>
                      <w:color w:val="auto"/>
                      <w:highlight w:val="none"/>
                      <w:vertAlign w:val="baseline"/>
                      <w:lang w:eastAsia="zh-CN"/>
                    </w:rPr>
                  </w:pPr>
                  <w:r>
                    <w:rPr>
                      <w:rFonts w:hint="eastAsia"/>
                      <w:b/>
                      <w:bCs/>
                      <w:color w:val="auto"/>
                      <w:highlight w:val="none"/>
                      <w:lang w:val="en-US" w:eastAsia="zh-CN"/>
                    </w:rPr>
                    <w:t>详细参数</w:t>
                  </w:r>
                </w:p>
              </w:tc>
              <w:tc>
                <w:tcPr>
                  <w:tcW w:w="757" w:type="dxa"/>
                  <w:vAlign w:val="center"/>
                </w:tcPr>
                <w:p w14:paraId="4E417A0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计量</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单位</w:t>
                  </w:r>
                </w:p>
              </w:tc>
              <w:tc>
                <w:tcPr>
                  <w:tcW w:w="1284" w:type="dxa"/>
                  <w:vAlign w:val="center"/>
                </w:tcPr>
                <w:p w14:paraId="1B54DEF2">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b/>
                      <w:bCs/>
                      <w:i w:val="0"/>
                      <w:iCs w:val="0"/>
                      <w:color w:val="auto"/>
                      <w:kern w:val="0"/>
                      <w:sz w:val="21"/>
                      <w:szCs w:val="21"/>
                      <w:highlight w:val="none"/>
                      <w:u w:val="none"/>
                      <w:lang w:val="en-US" w:eastAsia="zh-CN"/>
                    </w:rPr>
                    <w:t>工程数量</w:t>
                  </w:r>
                </w:p>
              </w:tc>
            </w:tr>
            <w:tr w14:paraId="39A1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3CFADF66">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769" w:type="dxa"/>
                  <w:vAlign w:val="center"/>
                </w:tcPr>
                <w:p w14:paraId="77F28C9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日常巡检</w:t>
                  </w:r>
                </w:p>
              </w:tc>
              <w:tc>
                <w:tcPr>
                  <w:tcW w:w="3760" w:type="dxa"/>
                  <w:vAlign w:val="center"/>
                </w:tcPr>
                <w:p w14:paraId="162DC883">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1、一周巡检一次，</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5C6AD0EF">
                  <w:pPr>
                    <w:keepNext w:val="0"/>
                    <w:keepLines w:val="0"/>
                    <w:widowControl/>
                    <w:suppressLineNumbers w:val="0"/>
                    <w:jc w:val="center"/>
                    <w:textAlignment w:val="center"/>
                    <w:rPr>
                      <w:rFonts w:hint="eastAsia"/>
                      <w:b/>
                      <w:bCs/>
                      <w:color w:val="auto"/>
                      <w:highlight w:val="none"/>
                      <w:vertAlign w:val="baseline"/>
                      <w:lang w:eastAsia="zh-CN"/>
                    </w:rPr>
                  </w:pPr>
                  <w:r>
                    <w:rPr>
                      <w:rFonts w:hint="eastAsia"/>
                      <w:b w:val="0"/>
                      <w:bCs w:val="0"/>
                      <w:color w:val="auto"/>
                      <w:highlight w:val="none"/>
                      <w:vertAlign w:val="baseline"/>
                      <w:lang w:eastAsia="zh-CN"/>
                    </w:rPr>
                    <w:t>次</w:t>
                  </w:r>
                </w:p>
              </w:tc>
              <w:tc>
                <w:tcPr>
                  <w:tcW w:w="1284" w:type="dxa"/>
                  <w:vAlign w:val="center"/>
                </w:tcPr>
                <w:p w14:paraId="1927E53A">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104.000</w:t>
                  </w:r>
                </w:p>
              </w:tc>
            </w:tr>
            <w:tr w14:paraId="460B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4D57FFAC">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w:t>
                  </w:r>
                </w:p>
              </w:tc>
              <w:tc>
                <w:tcPr>
                  <w:tcW w:w="1769" w:type="dxa"/>
                  <w:vAlign w:val="center"/>
                </w:tcPr>
                <w:p w14:paraId="7966E10C">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上门服务费</w:t>
                  </w:r>
                </w:p>
              </w:tc>
              <w:tc>
                <w:tcPr>
                  <w:tcW w:w="3760" w:type="dxa"/>
                  <w:vAlign w:val="center"/>
                </w:tcPr>
                <w:p w14:paraId="0F6D456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1、一周上门服务2次计算，</w:t>
                  </w:r>
                  <w:r>
                    <w:rPr>
                      <w:rFonts w:hint="eastAsia" w:ascii="宋体" w:hAnsi="宋体" w:cs="宋体"/>
                      <w:i w:val="0"/>
                      <w:iCs w:val="0"/>
                      <w:color w:val="auto"/>
                      <w:kern w:val="0"/>
                      <w:sz w:val="20"/>
                      <w:szCs w:val="20"/>
                      <w:highlight w:val="none"/>
                      <w:u w:val="none"/>
                      <w:lang w:val="en-US" w:eastAsia="zh-CN" w:bidi="ar"/>
                    </w:rPr>
                    <w:t>合同期内</w:t>
                  </w:r>
                  <w:r>
                    <w:rPr>
                      <w:rFonts w:hint="eastAsia" w:ascii="宋体" w:hAnsi="宋体" w:eastAsia="宋体" w:cs="宋体"/>
                      <w:i w:val="0"/>
                      <w:iCs w:val="0"/>
                      <w:color w:val="auto"/>
                      <w:kern w:val="0"/>
                      <w:sz w:val="20"/>
                      <w:szCs w:val="20"/>
                      <w:highlight w:val="none"/>
                      <w:u w:val="none"/>
                      <w:lang w:val="en-US" w:eastAsia="zh-CN" w:bidi="ar"/>
                    </w:rPr>
                    <w:t>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2AD7C201">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w:t>
                  </w:r>
                </w:p>
              </w:tc>
              <w:tc>
                <w:tcPr>
                  <w:tcW w:w="1284" w:type="dxa"/>
                  <w:vAlign w:val="center"/>
                </w:tcPr>
                <w:p w14:paraId="23132C80">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208.000</w:t>
                  </w:r>
                </w:p>
              </w:tc>
            </w:tr>
            <w:tr w14:paraId="4844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68" w:type="dxa"/>
                  <w:vAlign w:val="center"/>
                </w:tcPr>
                <w:p w14:paraId="7D4EC6B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3</w:t>
                  </w:r>
                </w:p>
              </w:tc>
              <w:tc>
                <w:tcPr>
                  <w:tcW w:w="1769" w:type="dxa"/>
                  <w:vAlign w:val="center"/>
                </w:tcPr>
                <w:p w14:paraId="27A5CC4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摄像机检修</w:t>
                  </w:r>
                </w:p>
              </w:tc>
              <w:tc>
                <w:tcPr>
                  <w:tcW w:w="3760" w:type="dxa"/>
                  <w:vAlign w:val="center"/>
                </w:tcPr>
                <w:p w14:paraId="726D2704">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1、前端视频监控摄像机、内存卡机检测及修复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50B3549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284" w:type="dxa"/>
                  <w:vAlign w:val="center"/>
                </w:tcPr>
                <w:p w14:paraId="72CE30A5">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1500.000</w:t>
                  </w:r>
                </w:p>
              </w:tc>
            </w:tr>
            <w:tr w14:paraId="664A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55C267AF">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4</w:t>
                  </w:r>
                </w:p>
              </w:tc>
              <w:tc>
                <w:tcPr>
                  <w:tcW w:w="1769" w:type="dxa"/>
                  <w:vAlign w:val="center"/>
                </w:tcPr>
                <w:p w14:paraId="7768C209">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防水设备箱</w:t>
                  </w:r>
                </w:p>
              </w:tc>
              <w:tc>
                <w:tcPr>
                  <w:tcW w:w="3760" w:type="dxa"/>
                  <w:vAlign w:val="center"/>
                </w:tcPr>
                <w:p w14:paraId="6855433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1、设备箱修复破损电箱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24DEE633">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284" w:type="dxa"/>
                  <w:vAlign w:val="center"/>
                </w:tcPr>
                <w:p w14:paraId="35278DB6">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1500.000</w:t>
                  </w:r>
                </w:p>
              </w:tc>
            </w:tr>
            <w:tr w14:paraId="0D31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4ACB1BB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5</w:t>
                  </w:r>
                </w:p>
              </w:tc>
              <w:tc>
                <w:tcPr>
                  <w:tcW w:w="1769" w:type="dxa"/>
                  <w:vAlign w:val="center"/>
                </w:tcPr>
                <w:p w14:paraId="42E4A1E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监控设备和监视器</w:t>
                  </w:r>
                </w:p>
              </w:tc>
              <w:tc>
                <w:tcPr>
                  <w:tcW w:w="3760" w:type="dxa"/>
                  <w:vAlign w:val="center"/>
                </w:tcPr>
                <w:p w14:paraId="28F87F2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1、监控客户端检测及修复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30E181C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套(部)</w:t>
                  </w:r>
                </w:p>
              </w:tc>
              <w:tc>
                <w:tcPr>
                  <w:tcW w:w="1284" w:type="dxa"/>
                  <w:vAlign w:val="center"/>
                </w:tcPr>
                <w:p w14:paraId="11B1F6A9">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22.000</w:t>
                  </w:r>
                </w:p>
              </w:tc>
            </w:tr>
            <w:tr w14:paraId="6D34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1409CE00">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6</w:t>
                  </w:r>
                </w:p>
              </w:tc>
              <w:tc>
                <w:tcPr>
                  <w:tcW w:w="1769" w:type="dxa"/>
                  <w:vAlign w:val="center"/>
                </w:tcPr>
                <w:p w14:paraId="1E82528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安全网关路由器</w:t>
                  </w:r>
                </w:p>
              </w:tc>
              <w:tc>
                <w:tcPr>
                  <w:tcW w:w="3760" w:type="dxa"/>
                  <w:vAlign w:val="center"/>
                </w:tcPr>
                <w:p w14:paraId="2937538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1、安全网关路由器检测及修复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08D5650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台/套</w:t>
                  </w:r>
                </w:p>
              </w:tc>
              <w:tc>
                <w:tcPr>
                  <w:tcW w:w="1284" w:type="dxa"/>
                  <w:vAlign w:val="center"/>
                </w:tcPr>
                <w:p w14:paraId="43E59DF7">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5.000</w:t>
                  </w:r>
                </w:p>
              </w:tc>
            </w:tr>
            <w:tr w14:paraId="4558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68" w:type="dxa"/>
                  <w:vAlign w:val="center"/>
                </w:tcPr>
                <w:p w14:paraId="00EADB9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7</w:t>
                  </w:r>
                </w:p>
              </w:tc>
              <w:tc>
                <w:tcPr>
                  <w:tcW w:w="1769" w:type="dxa"/>
                  <w:vAlign w:val="center"/>
                </w:tcPr>
                <w:p w14:paraId="381D2F2A">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中心管理服务器和数据库管理服务器</w:t>
                  </w:r>
                </w:p>
              </w:tc>
              <w:tc>
                <w:tcPr>
                  <w:tcW w:w="3760" w:type="dxa"/>
                  <w:vAlign w:val="center"/>
                </w:tcPr>
                <w:p w14:paraId="238F494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1、中心管理服务器和数据库管理服务器检测及修复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0E3BA08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台/套</w:t>
                  </w:r>
                </w:p>
              </w:tc>
              <w:tc>
                <w:tcPr>
                  <w:tcW w:w="1284" w:type="dxa"/>
                  <w:vAlign w:val="center"/>
                </w:tcPr>
                <w:p w14:paraId="67C25208">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1.000</w:t>
                  </w:r>
                </w:p>
              </w:tc>
            </w:tr>
            <w:tr w14:paraId="7B10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2313DA7A">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8</w:t>
                  </w:r>
                </w:p>
              </w:tc>
              <w:tc>
                <w:tcPr>
                  <w:tcW w:w="1769" w:type="dxa"/>
                  <w:vAlign w:val="center"/>
                </w:tcPr>
                <w:p w14:paraId="71E28887">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数据库管理服务器</w:t>
                  </w:r>
                </w:p>
              </w:tc>
              <w:tc>
                <w:tcPr>
                  <w:tcW w:w="3760" w:type="dxa"/>
                  <w:vAlign w:val="center"/>
                </w:tcPr>
                <w:p w14:paraId="69CDE1FB">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1、数据库管理服务器检测及修复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74BAD81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台/套</w:t>
                  </w:r>
                </w:p>
              </w:tc>
              <w:tc>
                <w:tcPr>
                  <w:tcW w:w="1284" w:type="dxa"/>
                  <w:vAlign w:val="center"/>
                </w:tcPr>
                <w:p w14:paraId="1A8EB8BB">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1.000</w:t>
                  </w:r>
                </w:p>
              </w:tc>
            </w:tr>
            <w:tr w14:paraId="40C0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54564DD9">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9</w:t>
                  </w:r>
                </w:p>
              </w:tc>
              <w:tc>
                <w:tcPr>
                  <w:tcW w:w="1769" w:type="dxa"/>
                  <w:vAlign w:val="center"/>
                </w:tcPr>
                <w:p w14:paraId="734011AF">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平台软件</w:t>
                  </w:r>
                </w:p>
              </w:tc>
              <w:tc>
                <w:tcPr>
                  <w:tcW w:w="3760" w:type="dxa"/>
                  <w:vAlign w:val="center"/>
                </w:tcPr>
                <w:p w14:paraId="6859181D">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1、平台软件运维检测及修复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7A1434B5">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次台</w:t>
                  </w:r>
                </w:p>
              </w:tc>
              <w:tc>
                <w:tcPr>
                  <w:tcW w:w="1284" w:type="dxa"/>
                  <w:vAlign w:val="center"/>
                </w:tcPr>
                <w:p w14:paraId="1ECB1F47">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.000</w:t>
                  </w:r>
                </w:p>
              </w:tc>
            </w:tr>
            <w:tr w14:paraId="0543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8" w:type="dxa"/>
                  <w:vAlign w:val="center"/>
                </w:tcPr>
                <w:p w14:paraId="58692E1B">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769" w:type="dxa"/>
                  <w:vAlign w:val="center"/>
                </w:tcPr>
                <w:p w14:paraId="310761C6">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机柜</w:t>
                  </w:r>
                </w:p>
              </w:tc>
              <w:tc>
                <w:tcPr>
                  <w:tcW w:w="3760" w:type="dxa"/>
                  <w:vAlign w:val="center"/>
                </w:tcPr>
                <w:p w14:paraId="2C7A9820">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1、机柜检测及修复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2076169E">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284" w:type="dxa"/>
                  <w:vAlign w:val="center"/>
                </w:tcPr>
                <w:p w14:paraId="6DC84798">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2.000</w:t>
                  </w:r>
                </w:p>
              </w:tc>
            </w:tr>
            <w:tr w14:paraId="0953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68" w:type="dxa"/>
                  <w:vAlign w:val="center"/>
                </w:tcPr>
                <w:p w14:paraId="7CCBB79D">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11</w:t>
                  </w:r>
                </w:p>
              </w:tc>
              <w:tc>
                <w:tcPr>
                  <w:tcW w:w="1769" w:type="dxa"/>
                  <w:vAlign w:val="center"/>
                </w:tcPr>
                <w:p w14:paraId="490392AE">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电源检修</w:t>
                  </w:r>
                </w:p>
              </w:tc>
              <w:tc>
                <w:tcPr>
                  <w:tcW w:w="3760" w:type="dxa"/>
                  <w:vAlign w:val="center"/>
                </w:tcPr>
                <w:p w14:paraId="5C870329">
                  <w:pPr>
                    <w:keepNext w:val="0"/>
                    <w:keepLines w:val="0"/>
                    <w:widowControl/>
                    <w:suppressLineNumbers w:val="0"/>
                    <w:jc w:val="lef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1、设备电源、供电电源的检查及修复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2、投标人综合考虑</w:t>
                  </w:r>
                </w:p>
              </w:tc>
              <w:tc>
                <w:tcPr>
                  <w:tcW w:w="757" w:type="dxa"/>
                  <w:vAlign w:val="center"/>
                </w:tcPr>
                <w:p w14:paraId="43370247">
                  <w:pPr>
                    <w:keepNext w:val="0"/>
                    <w:keepLines w:val="0"/>
                    <w:widowControl/>
                    <w:suppressLineNumbers w:val="0"/>
                    <w:jc w:val="center"/>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台</w:t>
                  </w:r>
                </w:p>
              </w:tc>
              <w:tc>
                <w:tcPr>
                  <w:tcW w:w="1284" w:type="dxa"/>
                  <w:vAlign w:val="center"/>
                </w:tcPr>
                <w:p w14:paraId="3460EB2E">
                  <w:pPr>
                    <w:keepNext w:val="0"/>
                    <w:keepLines w:val="0"/>
                    <w:widowControl/>
                    <w:suppressLineNumbers w:val="0"/>
                    <w:jc w:val="right"/>
                    <w:textAlignment w:val="center"/>
                    <w:rPr>
                      <w:rFonts w:hint="eastAsia"/>
                      <w:b/>
                      <w:bCs/>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100.000</w:t>
                  </w:r>
                </w:p>
              </w:tc>
            </w:tr>
          </w:tbl>
          <w:p w14:paraId="5C1342FA">
            <w:pPr>
              <w:pStyle w:val="11"/>
              <w:jc w:val="both"/>
              <w:rPr>
                <w:rFonts w:hint="default" w:eastAsia="宋体"/>
                <w:color w:val="auto"/>
                <w:highlight w:val="none"/>
                <w:lang w:val="en-US" w:eastAsia="zh-CN"/>
              </w:rPr>
            </w:pPr>
          </w:p>
          <w:p w14:paraId="63738B2E">
            <w:pPr>
              <w:pStyle w:val="11"/>
              <w:jc w:val="both"/>
              <w:rPr>
                <w:rFonts w:hint="default" w:eastAsia="宋体"/>
                <w:color w:val="auto"/>
                <w:highlight w:val="none"/>
                <w:lang w:val="en-US" w:eastAsia="zh-CN"/>
              </w:rPr>
            </w:pPr>
          </w:p>
        </w:tc>
      </w:tr>
      <w:tr w14:paraId="76786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20" w:hRule="atLeast"/>
        </w:trPr>
        <w:tc>
          <w:tcPr>
            <w:tcW w:w="452" w:type="dxa"/>
          </w:tcPr>
          <w:p w14:paraId="323198F0">
            <w:pPr>
              <w:rPr>
                <w:color w:val="auto"/>
                <w:highlight w:val="none"/>
              </w:rPr>
            </w:pPr>
          </w:p>
        </w:tc>
        <w:tc>
          <w:tcPr>
            <w:tcW w:w="417" w:type="dxa"/>
          </w:tcPr>
          <w:p w14:paraId="0B67351A">
            <w:pPr>
              <w:pStyle w:val="11"/>
              <w:jc w:val="center"/>
              <w:rPr>
                <w:rFonts w:hint="eastAsia" w:eastAsia="宋体"/>
                <w:color w:val="auto"/>
                <w:highlight w:val="none"/>
                <w:lang w:eastAsia="zh-CN"/>
              </w:rPr>
            </w:pPr>
            <w:r>
              <w:rPr>
                <w:rFonts w:hint="eastAsia"/>
                <w:color w:val="auto"/>
                <w:highlight w:val="none"/>
                <w:lang w:val="en-US" w:eastAsia="zh-CN"/>
              </w:rPr>
              <w:t>4</w:t>
            </w:r>
          </w:p>
        </w:tc>
        <w:tc>
          <w:tcPr>
            <w:tcW w:w="8736" w:type="dxa"/>
          </w:tcPr>
          <w:p w14:paraId="4A849AF7">
            <w:pPr>
              <w:pStyle w:val="11"/>
              <w:numPr>
                <w:ilvl w:val="0"/>
                <w:numId w:val="0"/>
              </w:numPr>
              <w:jc w:val="both"/>
              <w:rPr>
                <w:rFonts w:hint="eastAsia" w:eastAsia="宋体"/>
                <w:color w:val="auto"/>
                <w:highlight w:val="none"/>
                <w:lang w:eastAsia="zh-CN"/>
              </w:rPr>
            </w:pPr>
            <w:r>
              <w:rPr>
                <w:rFonts w:hint="eastAsia"/>
                <w:b/>
                <w:bCs/>
                <w:color w:val="auto"/>
                <w:highlight w:val="none"/>
                <w:lang w:eastAsia="zh-CN"/>
              </w:rPr>
              <w:t>四、</w:t>
            </w:r>
            <w:r>
              <w:rPr>
                <w:rFonts w:hint="eastAsia"/>
                <w:b/>
                <w:bCs/>
                <w:color w:val="auto"/>
                <w:highlight w:val="none"/>
              </w:rPr>
              <w:t>光纤线路租赁及数据存储</w:t>
            </w:r>
            <w:r>
              <w:rPr>
                <w:rFonts w:hint="eastAsia"/>
                <w:b/>
                <w:bCs/>
                <w:color w:val="auto"/>
                <w:highlight w:val="none"/>
                <w:lang w:eastAsia="zh-CN"/>
              </w:rPr>
              <w:t>清单</w:t>
            </w:r>
          </w:p>
          <w:tbl>
            <w:tblPr>
              <w:tblStyle w:val="8"/>
              <w:tblW w:w="839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368"/>
              <w:gridCol w:w="4270"/>
              <w:gridCol w:w="733"/>
              <w:gridCol w:w="1374"/>
            </w:tblGrid>
            <w:tr w14:paraId="31C7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2784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8229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BCA7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9F60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单位</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B35B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工程数量</w:t>
                  </w:r>
                </w:p>
              </w:tc>
            </w:tr>
            <w:tr w14:paraId="4DC2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5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067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云存储服务费</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5F92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按照接入1500路摄像机来计算，视频录像存储30天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w:t>
                  </w:r>
                  <w:r>
                    <w:rPr>
                      <w:rFonts w:hint="eastAsia" w:ascii="宋体" w:hAnsi="宋体" w:cs="宋体"/>
                      <w:i w:val="0"/>
                      <w:iCs w:val="0"/>
                      <w:color w:val="auto"/>
                      <w:kern w:val="0"/>
                      <w:sz w:val="20"/>
                      <w:szCs w:val="20"/>
                      <w:highlight w:val="none"/>
                      <w:u w:val="none"/>
                      <w:lang w:val="en-US" w:eastAsia="zh-CN" w:bidi="ar"/>
                    </w:rPr>
                    <w:t>600</w:t>
                  </w:r>
                  <w:r>
                    <w:rPr>
                      <w:rFonts w:hint="eastAsia" w:ascii="宋体" w:hAnsi="宋体" w:eastAsia="宋体" w:cs="宋体"/>
                      <w:i w:val="0"/>
                      <w:iCs w:val="0"/>
                      <w:color w:val="auto"/>
                      <w:kern w:val="0"/>
                      <w:sz w:val="20"/>
                      <w:szCs w:val="20"/>
                      <w:highlight w:val="none"/>
                      <w:u w:val="none"/>
                      <w:lang w:val="en-US" w:eastAsia="zh-CN" w:bidi="ar"/>
                    </w:rPr>
                    <w:t>路1080P图片识别。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3、含前端设备的电费</w:t>
                  </w:r>
                </w:p>
                <w:p w14:paraId="65F3F44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53C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0D41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1500.000</w:t>
                  </w:r>
                </w:p>
              </w:tc>
            </w:tr>
            <w:tr w14:paraId="7984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A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68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光纤租赁</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9D9E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1、1500个监控点，50Mbps,固定IP地址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2、含前端设备的电费</w:t>
                  </w:r>
                </w:p>
                <w:p w14:paraId="6748306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1E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97CE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1500.000</w:t>
                  </w:r>
                </w:p>
              </w:tc>
            </w:tr>
            <w:tr w14:paraId="2EA7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D3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AE5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光纤租赁</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71D1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1、17条村委专线服务，100Mbps,拨号动态IP</w:t>
                  </w:r>
                </w:p>
                <w:p w14:paraId="51BD736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2、含前端设备的电费</w:t>
                  </w:r>
                </w:p>
                <w:p w14:paraId="3C7E2E9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3F9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7E2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17.000</w:t>
                  </w:r>
                </w:p>
              </w:tc>
            </w:tr>
            <w:tr w14:paraId="2923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7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93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光纤租赁</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25E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1、3个派出所专线服务，500Mbps,拨号动态IP</w:t>
                  </w:r>
                </w:p>
                <w:p w14:paraId="46CBE6B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2、光纤租赁含前端设备的电费</w:t>
                  </w:r>
                </w:p>
                <w:p w14:paraId="356B559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rPr>
                    <w:t>覆盖本项目合同期内的正常运行。</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414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AF7E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r>
            <w:tr w14:paraId="39D6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7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24E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光纤租赁</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E9D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1、110</w:t>
                  </w:r>
                  <w:r>
                    <w:rPr>
                      <w:rFonts w:hint="eastAsia" w:ascii="宋体" w:hAnsi="宋体" w:cs="宋体"/>
                      <w:i w:val="0"/>
                      <w:iCs w:val="0"/>
                      <w:color w:val="auto"/>
                      <w:kern w:val="0"/>
                      <w:sz w:val="20"/>
                      <w:szCs w:val="20"/>
                      <w:highlight w:val="none"/>
                      <w:u w:val="none"/>
                      <w:lang w:val="en-US" w:eastAsia="zh-CN" w:bidi="ar"/>
                    </w:rPr>
                    <w:t>指挥大厅</w:t>
                  </w:r>
                  <w:r>
                    <w:rPr>
                      <w:rFonts w:hint="eastAsia" w:ascii="宋体" w:hAnsi="宋体" w:eastAsia="宋体" w:cs="宋体"/>
                      <w:i w:val="0"/>
                      <w:iCs w:val="0"/>
                      <w:color w:val="auto"/>
                      <w:kern w:val="0"/>
                      <w:sz w:val="20"/>
                      <w:szCs w:val="20"/>
                      <w:highlight w:val="none"/>
                      <w:u w:val="none"/>
                      <w:lang w:val="en-US" w:eastAsia="zh-CN" w:bidi="ar"/>
                    </w:rPr>
                    <w:t>和分局</w:t>
                  </w:r>
                  <w:r>
                    <w:rPr>
                      <w:rFonts w:hint="eastAsia" w:ascii="宋体" w:hAnsi="宋体" w:cs="宋体"/>
                      <w:i w:val="0"/>
                      <w:iCs w:val="0"/>
                      <w:color w:val="auto"/>
                      <w:kern w:val="0"/>
                      <w:sz w:val="20"/>
                      <w:szCs w:val="20"/>
                      <w:highlight w:val="none"/>
                      <w:u w:val="none"/>
                      <w:lang w:val="en-US" w:eastAsia="zh-CN" w:bidi="ar"/>
                    </w:rPr>
                    <w:t>刑警大队</w:t>
                  </w:r>
                  <w:r>
                    <w:rPr>
                      <w:rFonts w:hint="eastAsia" w:ascii="宋体" w:hAnsi="宋体" w:eastAsia="宋体" w:cs="宋体"/>
                      <w:i w:val="0"/>
                      <w:iCs w:val="0"/>
                      <w:color w:val="auto"/>
                      <w:kern w:val="0"/>
                      <w:sz w:val="20"/>
                      <w:szCs w:val="20"/>
                      <w:highlight w:val="none"/>
                      <w:u w:val="none"/>
                      <w:lang w:val="en-US" w:eastAsia="zh-CN" w:bidi="ar"/>
                    </w:rPr>
                    <w:t>各1条专线服务，500Mbps固定IP地址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2、含前端设备的电费</w:t>
                  </w:r>
                </w:p>
                <w:p w14:paraId="0DD7ADBC">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rPr>
                    <w:t>3、覆盖本项目合同期内的正常运行。</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179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33E0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r>
            <w:tr w14:paraId="0582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1"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A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71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视频控制设备</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1062E">
                  <w:pPr>
                    <w:keepNext w:val="0"/>
                    <w:keepLines w:val="0"/>
                    <w:widowControl/>
                    <w:numPr>
                      <w:ilvl w:val="0"/>
                      <w:numId w:val="0"/>
                    </w:numPr>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视频切换设备 云台控制器、视频切换器安装 视频切换器 4×1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大屏</w:t>
                  </w:r>
                  <w:r>
                    <w:rPr>
                      <w:rFonts w:hint="eastAsia" w:ascii="宋体" w:hAnsi="宋体" w:eastAsia="宋体" w:cs="宋体"/>
                      <w:i w:val="0"/>
                      <w:iCs w:val="0"/>
                      <w:color w:val="auto"/>
                      <w:kern w:val="0"/>
                      <w:sz w:val="20"/>
                      <w:szCs w:val="20"/>
                      <w:highlight w:val="none"/>
                      <w:u w:val="none"/>
                      <w:lang w:val="en-US" w:eastAsia="zh-CN" w:bidi="ar"/>
                    </w:rPr>
                    <w:t xml:space="preserve">监视器 </w:t>
                  </w:r>
                  <w:r>
                    <w:rPr>
                      <w:rFonts w:hint="eastAsia" w:ascii="宋体" w:hAnsi="宋体" w:cs="宋体"/>
                      <w:i w:val="0"/>
                      <w:iCs w:val="0"/>
                      <w:color w:val="auto"/>
                      <w:kern w:val="0"/>
                      <w:sz w:val="20"/>
                      <w:szCs w:val="20"/>
                      <w:highlight w:val="none"/>
                      <w:u w:val="none"/>
                      <w:lang w:val="en-US" w:eastAsia="zh-CN" w:bidi="ar"/>
                    </w:rPr>
                    <w:t>具备</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3840</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2160</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分辨率的</w:t>
                  </w:r>
                  <w:r>
                    <w:rPr>
                      <w:rFonts w:hint="eastAsia" w:ascii="宋体" w:hAnsi="宋体" w:eastAsia="宋体" w:cs="宋体"/>
                      <w:i w:val="0"/>
                      <w:iCs w:val="0"/>
                      <w:color w:val="auto"/>
                      <w:kern w:val="0"/>
                      <w:sz w:val="20"/>
                      <w:szCs w:val="20"/>
                      <w:highlight w:val="none"/>
                      <w:u w:val="none"/>
                      <w:lang w:val="en-US" w:eastAsia="zh-CN" w:bidi="ar"/>
                    </w:rPr>
                    <w:t>高清显示</w:t>
                  </w:r>
                  <w:r>
                    <w:rPr>
                      <w:rFonts w:hint="eastAsia" w:ascii="宋体" w:hAnsi="宋体" w:cs="宋体"/>
                      <w:i w:val="0"/>
                      <w:iCs w:val="0"/>
                      <w:color w:val="auto"/>
                      <w:kern w:val="0"/>
                      <w:sz w:val="20"/>
                      <w:szCs w:val="20"/>
                      <w:highlight w:val="none"/>
                      <w:u w:val="none"/>
                      <w:lang w:val="en-US" w:eastAsia="zh-CN" w:bidi="ar"/>
                    </w:rPr>
                    <w:t>、3个HDMI输入、大屏自带系统</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3、65 寸 4K 高清监视器</w:t>
                  </w:r>
                </w:p>
                <w:p w14:paraId="5FF4F513">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采用3D数字梳状滤波器,采用3D降噪技术。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采用可编程12-bit RGB gamma校正技术。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满足项目技术要求</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8B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台(套)</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6463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r>
            <w:tr w14:paraId="57BC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748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F80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ai解析</w:t>
                  </w:r>
                  <w:r>
                    <w:rPr>
                      <w:rFonts w:hint="eastAsia" w:ascii="宋体" w:hAnsi="宋体" w:cs="宋体"/>
                      <w:i w:val="0"/>
                      <w:iCs w:val="0"/>
                      <w:color w:val="auto"/>
                      <w:kern w:val="0"/>
                      <w:sz w:val="20"/>
                      <w:szCs w:val="20"/>
                      <w:highlight w:val="none"/>
                      <w:u w:val="none"/>
                      <w:lang w:val="en-US" w:eastAsia="zh-CN" w:bidi="ar"/>
                    </w:rPr>
                    <w:t>功能</w:t>
                  </w:r>
                </w:p>
              </w:tc>
              <w:tc>
                <w:tcPr>
                  <w:tcW w:w="4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D7E22">
                  <w:pPr>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i w:val="0"/>
                      <w:iCs w:val="0"/>
                      <w:color w:val="auto"/>
                      <w:kern w:val="0"/>
                      <w:sz w:val="21"/>
                      <w:szCs w:val="21"/>
                      <w:highlight w:val="none"/>
                      <w:u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rPr>
                    <w:t>合同期内，中标人须提供以下服务内容：</w:t>
                  </w:r>
                </w:p>
                <w:p w14:paraId="34F837E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核心功能模块</w:t>
                  </w:r>
                </w:p>
                <w:p w14:paraId="7AE34A6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人车管控中心：实时感知、轨迹还原、智能检索（人像库检索、抓拍库检索）、告警事件管理、数据中心可视化。</w:t>
                  </w:r>
                </w:p>
                <w:p w14:paraId="2F22390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AI推理平台：算法仓管理（检测模型纳管、跨芯片部署）、算法调度（相机配置、离线视频分析、告警设置）、数据研判（历史事件、事件统计、客流统计）。</w:t>
                  </w:r>
                </w:p>
                <w:p w14:paraId="74E4806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全域研判：属性检索（行人/骑行/车辆多标签检索）、以图搜图（以脸搜脸、以车搜车、REID搜图、多图搜图）、收敛研判（时空轨迹刻画、目标归档）。</w:t>
                  </w:r>
                </w:p>
                <w:p w14:paraId="200FC43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综合布控：人脸布控（黑名单/白名单布控、即时布控）、车辆布控（车牌缺损布控、即时布控）、布控告警管理。</w:t>
                  </w:r>
                </w:p>
                <w:p w14:paraId="094B9C6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系统管理：用户权限管理、日志审计、机构/部门/区域分级管理。</w:t>
                  </w:r>
                </w:p>
                <w:p w14:paraId="07BD28F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算法需求</w:t>
                  </w:r>
                </w:p>
                <w:p w14:paraId="19C1FF5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基础算法：持械检测、打架斗殴检测、奔跑追逐检测、重点监控人群布控告警、火焰检测、管控区域车辆闯入检测、聚集人群突变检测、路面积水检测、人员电扶梯逆行检测、客流分析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客流</w:t>
                  </w:r>
                  <w:r>
                    <w:rPr>
                      <w:rFonts w:hint="eastAsia" w:ascii="宋体" w:hAnsi="宋体" w:eastAsia="宋体" w:cs="宋体"/>
                      <w:color w:val="auto"/>
                      <w:sz w:val="21"/>
                      <w:szCs w:val="21"/>
                      <w:highlight w:val="none"/>
                    </w:rPr>
                    <w:t>突变告警。</w:t>
                  </w:r>
                </w:p>
                <w:p w14:paraId="5FDB4BB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智能分析算法：人脸人体关联、人脸机动车关联、人脸非机动车关联、时空互斥校验、跨目标域检索（REID）。</w:t>
                  </w:r>
                </w:p>
                <w:p w14:paraId="3216F53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大模型编排能力：支持语言编排生成新场景算法（人员行为、物品识别、场景识别），支持算法微调与部署。</w:t>
                  </w:r>
                </w:p>
                <w:p w14:paraId="0EBE2FD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性能要求</w:t>
                  </w:r>
                </w:p>
                <w:p w14:paraId="076BD2D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支持与现有公安视频专网、社会资源平台无缝对接（GB/T 28181、GA/T 1400协议）。</w:t>
                  </w:r>
                </w:p>
                <w:p w14:paraId="1A26CF9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支持1000路图片流并发识别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支持离线视频分析</w:t>
                  </w:r>
                  <w:r>
                    <w:rPr>
                      <w:rFonts w:hint="eastAsia" w:ascii="宋体" w:hAnsi="宋体" w:eastAsia="宋体" w:cs="宋体"/>
                      <w:color w:val="auto"/>
                      <w:sz w:val="21"/>
                      <w:szCs w:val="21"/>
                      <w:highlight w:val="none"/>
                      <w:lang w:eastAsia="zh-CN"/>
                    </w:rPr>
                    <w:t>。</w:t>
                  </w:r>
                </w:p>
                <w:p w14:paraId="35F1148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算法仓支持多芯片适配（</w:t>
                  </w:r>
                  <w:r>
                    <w:rPr>
                      <w:rFonts w:hint="eastAsia" w:ascii="宋体" w:hAnsi="宋体" w:eastAsia="宋体" w:cs="宋体"/>
                      <w:color w:val="auto"/>
                      <w:sz w:val="21"/>
                      <w:szCs w:val="21"/>
                      <w:highlight w:val="none"/>
                      <w:lang w:val="en-US" w:eastAsia="zh-CN"/>
                    </w:rPr>
                    <w:t>国产加速卡、国产SC5+算力卡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动态调度GPU算力资源。</w:t>
                  </w:r>
                </w:p>
                <w:p w14:paraId="744E901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分析单元采用</w:t>
                  </w:r>
                  <w:r>
                    <w:rPr>
                      <w:rFonts w:hint="eastAsia" w:ascii="宋体" w:hAnsi="宋体" w:eastAsia="宋体" w:cs="宋体"/>
                      <w:color w:val="auto"/>
                      <w:sz w:val="21"/>
                      <w:szCs w:val="21"/>
                      <w:highlight w:val="none"/>
                    </w:rPr>
                    <w:t>前期测试验证的高性能服务器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兼容现有局内测试环境。</w:t>
                  </w:r>
                </w:p>
                <w:p w14:paraId="6BD7C3FA">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4.预留可扩容路数1000路。</w:t>
                  </w:r>
                </w:p>
                <w:p w14:paraId="4B0DC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DDE6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路</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D4C3A">
                  <w:pPr>
                    <w:keepNext w:val="0"/>
                    <w:keepLines w:val="0"/>
                    <w:widowControl/>
                    <w:suppressLineNumbers w:val="0"/>
                    <w:jc w:val="righ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520</w:t>
                  </w:r>
                </w:p>
              </w:tc>
            </w:tr>
          </w:tbl>
          <w:p w14:paraId="49010EDE">
            <w:pPr>
              <w:pStyle w:val="11"/>
              <w:numPr>
                <w:ilvl w:val="0"/>
                <w:numId w:val="0"/>
              </w:numPr>
              <w:jc w:val="both"/>
              <w:rPr>
                <w:rFonts w:hint="eastAsia"/>
                <w:b/>
                <w:bCs/>
                <w:color w:val="auto"/>
                <w:highlight w:val="none"/>
                <w:lang w:eastAsia="zh-CN"/>
              </w:rPr>
            </w:pPr>
          </w:p>
        </w:tc>
      </w:tr>
      <w:tr w14:paraId="62804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dxa"/>
          </w:tcPr>
          <w:p w14:paraId="61833827">
            <w:pPr>
              <w:pStyle w:val="11"/>
              <w:rPr>
                <w:color w:val="auto"/>
                <w:highlight w:val="none"/>
              </w:rPr>
            </w:pPr>
            <w:r>
              <w:rPr>
                <w:color w:val="auto"/>
                <w:highlight w:val="none"/>
              </w:rPr>
              <w:t>说明</w:t>
            </w:r>
          </w:p>
        </w:tc>
        <w:tc>
          <w:tcPr>
            <w:tcW w:w="9153" w:type="dxa"/>
            <w:gridSpan w:val="2"/>
          </w:tcPr>
          <w:p w14:paraId="1ECEA853">
            <w:pPr>
              <w:pStyle w:val="11"/>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29D0DF3C">
      <w:pPr>
        <w:rPr>
          <w:color w:val="auto"/>
          <w:highlight w:val="none"/>
        </w:rPr>
      </w:pPr>
    </w:p>
    <w:p w14:paraId="3A354CA0">
      <w:pPr>
        <w:rPr>
          <w:color w:val="auto"/>
          <w:highlight w:val="none"/>
        </w:rPr>
      </w:pPr>
    </w:p>
    <w:sectPr>
      <w:headerReference r:id="rId3" w:type="default"/>
      <w:footerReference r:id="rId4" w:type="default"/>
      <w:pgSz w:w="11906" w:h="16838"/>
      <w:pgMar w:top="1270" w:right="1080" w:bottom="127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05AB">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2576195</wp:posOffset>
              </wp:positionH>
              <wp:positionV relativeFrom="paragraph">
                <wp:posOffset>-8255</wp:posOffset>
              </wp:positionV>
              <wp:extent cx="173990" cy="154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399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1C70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85pt;margin-top:-0.65pt;height:12.15pt;width:13.7pt;mso-position-horizontal-relative:margin;z-index:251659264;mso-width-relative:page;mso-height-relative:page;" filled="f" stroked="f" coordsize="21600,21600" o:gfxdata="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0ZDLdgAAAAJAQAADwAAAAAAAAABACAAAAAiAAAAZHJzL2Rvd25y&#10;ZXYueG1sUEsBAhQAFAAAAAgAh07iQIvBxcU3AgAAYQQAAA4AAAAAAAAAAQAgAAAAJwEAAGRycy9l&#10;Mm9Eb2MueG1sUEsFBgAAAAAGAAYAWQEAANAFAAAAAA==&#10;">
              <v:fill on="f" focussize="0,0"/>
              <v:stroke on="f" weight="0.5pt"/>
              <v:imagedata o:title=""/>
              <o:lock v:ext="edit" aspectratio="f"/>
              <v:textbox inset="0mm,0mm,0mm,0mm">
                <w:txbxContent>
                  <w:p w14:paraId="4C21C70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E0F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4B385"/>
    <w:multiLevelType w:val="singleLevel"/>
    <w:tmpl w:val="8A64B385"/>
    <w:lvl w:ilvl="0" w:tentative="0">
      <w:start w:val="1"/>
      <w:numFmt w:val="decimal"/>
      <w:lvlText w:val="(%1)"/>
      <w:lvlJc w:val="left"/>
      <w:pPr>
        <w:ind w:left="845" w:hanging="425"/>
      </w:pPr>
      <w:rPr>
        <w:rFonts w:hint="default"/>
      </w:rPr>
    </w:lvl>
  </w:abstractNum>
  <w:abstractNum w:abstractNumId="1">
    <w:nsid w:val="8BF2E244"/>
    <w:multiLevelType w:val="singleLevel"/>
    <w:tmpl w:val="8BF2E244"/>
    <w:lvl w:ilvl="0" w:tentative="0">
      <w:start w:val="1"/>
      <w:numFmt w:val="decimal"/>
      <w:suff w:val="nothing"/>
      <w:lvlText w:val="%1、"/>
      <w:lvlJc w:val="left"/>
    </w:lvl>
  </w:abstractNum>
  <w:abstractNum w:abstractNumId="2">
    <w:nsid w:val="A854D515"/>
    <w:multiLevelType w:val="singleLevel"/>
    <w:tmpl w:val="A854D515"/>
    <w:lvl w:ilvl="0" w:tentative="0">
      <w:start w:val="1"/>
      <w:numFmt w:val="decimal"/>
      <w:lvlText w:val="(%1)"/>
      <w:lvlJc w:val="left"/>
      <w:pPr>
        <w:ind w:left="845" w:hanging="425"/>
      </w:pPr>
      <w:rPr>
        <w:rFonts w:hint="default"/>
      </w:rPr>
    </w:lvl>
  </w:abstractNum>
  <w:abstractNum w:abstractNumId="3">
    <w:nsid w:val="B0C7A1A8"/>
    <w:multiLevelType w:val="singleLevel"/>
    <w:tmpl w:val="B0C7A1A8"/>
    <w:lvl w:ilvl="0" w:tentative="0">
      <w:start w:val="1"/>
      <w:numFmt w:val="decimal"/>
      <w:suff w:val="nothing"/>
      <w:lvlText w:val="%1、"/>
      <w:lvlJc w:val="left"/>
    </w:lvl>
  </w:abstractNum>
  <w:abstractNum w:abstractNumId="4">
    <w:nsid w:val="C4A0DC8C"/>
    <w:multiLevelType w:val="singleLevel"/>
    <w:tmpl w:val="C4A0DC8C"/>
    <w:lvl w:ilvl="0" w:tentative="0">
      <w:start w:val="1"/>
      <w:numFmt w:val="decimal"/>
      <w:suff w:val="nothing"/>
      <w:lvlText w:val="%1、"/>
      <w:lvlJc w:val="left"/>
    </w:lvl>
  </w:abstractNum>
  <w:abstractNum w:abstractNumId="5">
    <w:nsid w:val="CB66D071"/>
    <w:multiLevelType w:val="singleLevel"/>
    <w:tmpl w:val="CB66D071"/>
    <w:lvl w:ilvl="0" w:tentative="0">
      <w:start w:val="1"/>
      <w:numFmt w:val="decimal"/>
      <w:lvlText w:val="%1."/>
      <w:lvlJc w:val="left"/>
      <w:pPr>
        <w:tabs>
          <w:tab w:val="left" w:pos="312"/>
        </w:tabs>
      </w:pPr>
    </w:lvl>
  </w:abstractNum>
  <w:abstractNum w:abstractNumId="6">
    <w:nsid w:val="CBC7B559"/>
    <w:multiLevelType w:val="singleLevel"/>
    <w:tmpl w:val="CBC7B559"/>
    <w:lvl w:ilvl="0" w:tentative="0">
      <w:start w:val="1"/>
      <w:numFmt w:val="decimal"/>
      <w:lvlText w:val="(%1)"/>
      <w:lvlJc w:val="left"/>
      <w:pPr>
        <w:ind w:left="425" w:hanging="425"/>
      </w:pPr>
      <w:rPr>
        <w:rFonts w:hint="default"/>
      </w:rPr>
    </w:lvl>
  </w:abstractNum>
  <w:abstractNum w:abstractNumId="7">
    <w:nsid w:val="E9E002B5"/>
    <w:multiLevelType w:val="singleLevel"/>
    <w:tmpl w:val="E9E002B5"/>
    <w:lvl w:ilvl="0" w:tentative="0">
      <w:start w:val="1"/>
      <w:numFmt w:val="decimal"/>
      <w:lvlText w:val="(%1)"/>
      <w:lvlJc w:val="left"/>
      <w:pPr>
        <w:ind w:left="845" w:hanging="425"/>
      </w:pPr>
      <w:rPr>
        <w:rFonts w:hint="default"/>
      </w:rPr>
    </w:lvl>
  </w:abstractNum>
  <w:abstractNum w:abstractNumId="8">
    <w:nsid w:val="00000000"/>
    <w:multiLevelType w:val="singleLevel"/>
    <w:tmpl w:val="00000000"/>
    <w:lvl w:ilvl="0" w:tentative="0">
      <w:start w:val="1"/>
      <w:numFmt w:val="decimal"/>
      <w:suff w:val="nothing"/>
      <w:lvlText w:val="%1．"/>
      <w:lvlJc w:val="left"/>
      <w:pPr>
        <w:ind w:left="0" w:firstLine="400"/>
      </w:pPr>
      <w:rPr>
        <w:rFonts w:hint="default"/>
      </w:rPr>
    </w:lvl>
  </w:abstractNum>
  <w:abstractNum w:abstractNumId="9">
    <w:nsid w:val="00000002"/>
    <w:multiLevelType w:val="singleLevel"/>
    <w:tmpl w:val="00000002"/>
    <w:lvl w:ilvl="0" w:tentative="0">
      <w:start w:val="2"/>
      <w:numFmt w:val="chineseCounting"/>
      <w:suff w:val="nothing"/>
      <w:lvlText w:val="%1、"/>
      <w:lvlJc w:val="left"/>
      <w:rPr>
        <w:rFonts w:hint="eastAsia"/>
        <w:b/>
        <w:bCs/>
      </w:rPr>
    </w:lvl>
  </w:abstractNum>
  <w:abstractNum w:abstractNumId="10">
    <w:nsid w:val="00000003"/>
    <w:multiLevelType w:val="singleLevel"/>
    <w:tmpl w:val="00000003"/>
    <w:lvl w:ilvl="0" w:tentative="0">
      <w:start w:val="3"/>
      <w:numFmt w:val="decimal"/>
      <w:lvlText w:val="%1."/>
      <w:lvlJc w:val="left"/>
      <w:pPr>
        <w:tabs>
          <w:tab w:val="left" w:pos="312"/>
        </w:tabs>
      </w:pPr>
    </w:lvl>
  </w:abstractNum>
  <w:abstractNum w:abstractNumId="11">
    <w:nsid w:val="00000004"/>
    <w:multiLevelType w:val="singleLevel"/>
    <w:tmpl w:val="00000004"/>
    <w:lvl w:ilvl="0" w:tentative="0">
      <w:start w:val="1"/>
      <w:numFmt w:val="chineseCounting"/>
      <w:suff w:val="nothing"/>
      <w:lvlText w:val="%1、"/>
      <w:lvlJc w:val="left"/>
      <w:rPr>
        <w:rFonts w:hint="eastAsia"/>
      </w:rPr>
    </w:lvl>
  </w:abstractNum>
  <w:abstractNum w:abstractNumId="12">
    <w:nsid w:val="02C1E1E3"/>
    <w:multiLevelType w:val="singleLevel"/>
    <w:tmpl w:val="02C1E1E3"/>
    <w:lvl w:ilvl="0" w:tentative="0">
      <w:start w:val="1"/>
      <w:numFmt w:val="decimal"/>
      <w:lvlText w:val="(%1)"/>
      <w:lvlJc w:val="left"/>
      <w:pPr>
        <w:ind w:left="425" w:hanging="425"/>
      </w:pPr>
      <w:rPr>
        <w:rFonts w:hint="default"/>
      </w:rPr>
    </w:lvl>
  </w:abstractNum>
  <w:abstractNum w:abstractNumId="13">
    <w:nsid w:val="1926A70D"/>
    <w:multiLevelType w:val="singleLevel"/>
    <w:tmpl w:val="1926A70D"/>
    <w:lvl w:ilvl="0" w:tentative="0">
      <w:start w:val="1"/>
      <w:numFmt w:val="decimal"/>
      <w:suff w:val="nothing"/>
      <w:lvlText w:val="%1、"/>
      <w:lvlJc w:val="left"/>
    </w:lvl>
  </w:abstractNum>
  <w:abstractNum w:abstractNumId="14">
    <w:nsid w:val="215276B9"/>
    <w:multiLevelType w:val="singleLevel"/>
    <w:tmpl w:val="215276B9"/>
    <w:lvl w:ilvl="0" w:tentative="0">
      <w:start w:val="1"/>
      <w:numFmt w:val="decimal"/>
      <w:suff w:val="nothing"/>
      <w:lvlText w:val="%1．"/>
      <w:lvlJc w:val="left"/>
      <w:pPr>
        <w:ind w:left="0" w:firstLine="400"/>
      </w:pPr>
      <w:rPr>
        <w:rFonts w:hint="default"/>
      </w:rPr>
    </w:lvl>
  </w:abstractNum>
  <w:abstractNum w:abstractNumId="15">
    <w:nsid w:val="30C553A3"/>
    <w:multiLevelType w:val="singleLevel"/>
    <w:tmpl w:val="30C553A3"/>
    <w:lvl w:ilvl="0" w:tentative="0">
      <w:start w:val="1"/>
      <w:numFmt w:val="chineseCounting"/>
      <w:suff w:val="nothing"/>
      <w:lvlText w:val="%1、"/>
      <w:lvlJc w:val="left"/>
      <w:rPr>
        <w:rFonts w:hint="eastAsia"/>
      </w:rPr>
    </w:lvl>
  </w:abstractNum>
  <w:abstractNum w:abstractNumId="16">
    <w:nsid w:val="321B6090"/>
    <w:multiLevelType w:val="singleLevel"/>
    <w:tmpl w:val="321B6090"/>
    <w:lvl w:ilvl="0" w:tentative="0">
      <w:start w:val="1"/>
      <w:numFmt w:val="decimal"/>
      <w:suff w:val="nothing"/>
      <w:lvlText w:val="%1．"/>
      <w:lvlJc w:val="left"/>
      <w:pPr>
        <w:ind w:left="-400" w:firstLine="400"/>
      </w:pPr>
      <w:rPr>
        <w:rFonts w:hint="default"/>
      </w:rPr>
    </w:lvl>
  </w:abstractNum>
  <w:abstractNum w:abstractNumId="17">
    <w:nsid w:val="32B9AF6A"/>
    <w:multiLevelType w:val="singleLevel"/>
    <w:tmpl w:val="32B9AF6A"/>
    <w:lvl w:ilvl="0" w:tentative="0">
      <w:start w:val="1"/>
      <w:numFmt w:val="decimalEnclosedCircleChinese"/>
      <w:suff w:val="nothing"/>
      <w:lvlText w:val="%1　"/>
      <w:lvlJc w:val="left"/>
      <w:pPr>
        <w:ind w:left="0" w:firstLine="400"/>
      </w:pPr>
      <w:rPr>
        <w:rFonts w:hint="eastAsia"/>
      </w:rPr>
    </w:lvl>
  </w:abstractNum>
  <w:abstractNum w:abstractNumId="18">
    <w:nsid w:val="51B54EBF"/>
    <w:multiLevelType w:val="singleLevel"/>
    <w:tmpl w:val="51B54EBF"/>
    <w:lvl w:ilvl="0" w:tentative="0">
      <w:start w:val="1"/>
      <w:numFmt w:val="decimal"/>
      <w:suff w:val="nothing"/>
      <w:lvlText w:val="%1、"/>
      <w:lvlJc w:val="left"/>
    </w:lvl>
  </w:abstractNum>
  <w:abstractNum w:abstractNumId="19">
    <w:nsid w:val="5A9C89BF"/>
    <w:multiLevelType w:val="singleLevel"/>
    <w:tmpl w:val="5A9C89BF"/>
    <w:lvl w:ilvl="0" w:tentative="0">
      <w:start w:val="1"/>
      <w:numFmt w:val="chineseCounting"/>
      <w:suff w:val="nothing"/>
      <w:lvlText w:val="%1、"/>
      <w:lvlJc w:val="left"/>
      <w:pPr>
        <w:ind w:left="-420" w:firstLine="420"/>
      </w:pPr>
      <w:rPr>
        <w:rFonts w:hint="eastAsia"/>
      </w:rPr>
    </w:lvl>
  </w:abstractNum>
  <w:abstractNum w:abstractNumId="20">
    <w:nsid w:val="61369858"/>
    <w:multiLevelType w:val="singleLevel"/>
    <w:tmpl w:val="61369858"/>
    <w:lvl w:ilvl="0" w:tentative="0">
      <w:start w:val="1"/>
      <w:numFmt w:val="decimal"/>
      <w:lvlText w:val="(%1)"/>
      <w:lvlJc w:val="left"/>
      <w:pPr>
        <w:ind w:left="845" w:hanging="425"/>
      </w:pPr>
      <w:rPr>
        <w:rFonts w:hint="default"/>
      </w:rPr>
    </w:lvl>
  </w:abstractNum>
  <w:abstractNum w:abstractNumId="21">
    <w:nsid w:val="74A55230"/>
    <w:multiLevelType w:val="singleLevel"/>
    <w:tmpl w:val="74A55230"/>
    <w:lvl w:ilvl="0" w:tentative="0">
      <w:start w:val="1"/>
      <w:numFmt w:val="decimal"/>
      <w:suff w:val="space"/>
      <w:lvlText w:val="%1."/>
      <w:lvlJc w:val="left"/>
    </w:lvl>
  </w:abstractNum>
  <w:num w:numId="1">
    <w:abstractNumId w:val="19"/>
  </w:num>
  <w:num w:numId="2">
    <w:abstractNumId w:val="10"/>
  </w:num>
  <w:num w:numId="3">
    <w:abstractNumId w:val="7"/>
  </w:num>
  <w:num w:numId="4">
    <w:abstractNumId w:val="16"/>
  </w:num>
  <w:num w:numId="5">
    <w:abstractNumId w:val="20"/>
  </w:num>
  <w:num w:numId="6">
    <w:abstractNumId w:val="0"/>
  </w:num>
  <w:num w:numId="7">
    <w:abstractNumId w:val="2"/>
  </w:num>
  <w:num w:numId="8">
    <w:abstractNumId w:val="17"/>
  </w:num>
  <w:num w:numId="9">
    <w:abstractNumId w:val="6"/>
  </w:num>
  <w:num w:numId="10">
    <w:abstractNumId w:val="8"/>
  </w:num>
  <w:num w:numId="11">
    <w:abstractNumId w:val="12"/>
  </w:num>
  <w:num w:numId="12">
    <w:abstractNumId w:val="14"/>
  </w:num>
  <w:num w:numId="13">
    <w:abstractNumId w:val="5"/>
  </w:num>
  <w:num w:numId="14">
    <w:abstractNumId w:val="11"/>
  </w:num>
  <w:num w:numId="15">
    <w:abstractNumId w:val="9"/>
  </w:num>
  <w:num w:numId="16">
    <w:abstractNumId w:val="18"/>
  </w:num>
  <w:num w:numId="17">
    <w:abstractNumId w:val="15"/>
  </w:num>
  <w:num w:numId="18">
    <w:abstractNumId w:val="4"/>
  </w:num>
  <w:num w:numId="19">
    <w:abstractNumId w:val="13"/>
  </w:num>
  <w:num w:numId="20">
    <w:abstractNumId w:val="3"/>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GVjNGI3YWU5MDFkNDE0YjgxZGQzNzMxM2ViYzEifQ=="/>
  </w:docVars>
  <w:rsids>
    <w:rsidRoot w:val="00000000"/>
    <w:rsid w:val="00052A18"/>
    <w:rsid w:val="00224B76"/>
    <w:rsid w:val="002B6923"/>
    <w:rsid w:val="002F3B86"/>
    <w:rsid w:val="003D21B2"/>
    <w:rsid w:val="00411794"/>
    <w:rsid w:val="00C502C3"/>
    <w:rsid w:val="00EF5BA2"/>
    <w:rsid w:val="01325A8F"/>
    <w:rsid w:val="0141686F"/>
    <w:rsid w:val="017F6D8E"/>
    <w:rsid w:val="018A58CB"/>
    <w:rsid w:val="01967DCC"/>
    <w:rsid w:val="01A00C4B"/>
    <w:rsid w:val="01B813C1"/>
    <w:rsid w:val="02186A33"/>
    <w:rsid w:val="02657362"/>
    <w:rsid w:val="02797BAA"/>
    <w:rsid w:val="02B20C36"/>
    <w:rsid w:val="02DF39F5"/>
    <w:rsid w:val="02F75BB3"/>
    <w:rsid w:val="03004097"/>
    <w:rsid w:val="03100052"/>
    <w:rsid w:val="031B2C7F"/>
    <w:rsid w:val="031E451D"/>
    <w:rsid w:val="034754F9"/>
    <w:rsid w:val="035166A0"/>
    <w:rsid w:val="037C3E78"/>
    <w:rsid w:val="03802AE2"/>
    <w:rsid w:val="03851FAF"/>
    <w:rsid w:val="03991DF6"/>
    <w:rsid w:val="03A0698F"/>
    <w:rsid w:val="03AD1C84"/>
    <w:rsid w:val="03C84489"/>
    <w:rsid w:val="03E7124D"/>
    <w:rsid w:val="0414147C"/>
    <w:rsid w:val="042B2878"/>
    <w:rsid w:val="042F4508"/>
    <w:rsid w:val="04371904"/>
    <w:rsid w:val="043B3F1E"/>
    <w:rsid w:val="04460794"/>
    <w:rsid w:val="045B1761"/>
    <w:rsid w:val="045C213B"/>
    <w:rsid w:val="048E56D2"/>
    <w:rsid w:val="04A40A52"/>
    <w:rsid w:val="04B52C5F"/>
    <w:rsid w:val="052F116F"/>
    <w:rsid w:val="05437774"/>
    <w:rsid w:val="05612280"/>
    <w:rsid w:val="056B1570"/>
    <w:rsid w:val="05CF1AFF"/>
    <w:rsid w:val="05F72E03"/>
    <w:rsid w:val="060379FA"/>
    <w:rsid w:val="060F4B06"/>
    <w:rsid w:val="06494D3A"/>
    <w:rsid w:val="06563FCE"/>
    <w:rsid w:val="06C8131F"/>
    <w:rsid w:val="070E6657"/>
    <w:rsid w:val="0781151E"/>
    <w:rsid w:val="07E93CC6"/>
    <w:rsid w:val="07F817E1"/>
    <w:rsid w:val="083210FA"/>
    <w:rsid w:val="084542FA"/>
    <w:rsid w:val="085778E7"/>
    <w:rsid w:val="0870481F"/>
    <w:rsid w:val="087F1E17"/>
    <w:rsid w:val="08A94889"/>
    <w:rsid w:val="08B2267B"/>
    <w:rsid w:val="08E97B4C"/>
    <w:rsid w:val="08FD5135"/>
    <w:rsid w:val="09300B06"/>
    <w:rsid w:val="09B07E99"/>
    <w:rsid w:val="09BA4874"/>
    <w:rsid w:val="09EF0C6F"/>
    <w:rsid w:val="09FB1114"/>
    <w:rsid w:val="0A27613C"/>
    <w:rsid w:val="0A7E1D45"/>
    <w:rsid w:val="0B096733"/>
    <w:rsid w:val="0B224DC6"/>
    <w:rsid w:val="0B420FC5"/>
    <w:rsid w:val="0B5225DE"/>
    <w:rsid w:val="0B723658"/>
    <w:rsid w:val="0B762FC6"/>
    <w:rsid w:val="0B7F6321"/>
    <w:rsid w:val="0C0C6D10"/>
    <w:rsid w:val="0C17232E"/>
    <w:rsid w:val="0C1D705A"/>
    <w:rsid w:val="0C2F52A2"/>
    <w:rsid w:val="0C6A432F"/>
    <w:rsid w:val="0CF54BA1"/>
    <w:rsid w:val="0CFD6DD7"/>
    <w:rsid w:val="0D116EA1"/>
    <w:rsid w:val="0D611BD6"/>
    <w:rsid w:val="0D705975"/>
    <w:rsid w:val="0D9A6E96"/>
    <w:rsid w:val="0DA57240"/>
    <w:rsid w:val="0EB977F0"/>
    <w:rsid w:val="0EE06B2A"/>
    <w:rsid w:val="0F486281"/>
    <w:rsid w:val="0F7A0CB6"/>
    <w:rsid w:val="0F866F00"/>
    <w:rsid w:val="0FCC73BA"/>
    <w:rsid w:val="0FF26B15"/>
    <w:rsid w:val="10423221"/>
    <w:rsid w:val="106F63B8"/>
    <w:rsid w:val="109B7E82"/>
    <w:rsid w:val="10E14224"/>
    <w:rsid w:val="10E3110E"/>
    <w:rsid w:val="11166833"/>
    <w:rsid w:val="115E5B6E"/>
    <w:rsid w:val="11AD2807"/>
    <w:rsid w:val="11C051AC"/>
    <w:rsid w:val="11DB0E46"/>
    <w:rsid w:val="123478B9"/>
    <w:rsid w:val="12371430"/>
    <w:rsid w:val="1246139A"/>
    <w:rsid w:val="126950A1"/>
    <w:rsid w:val="12A06CFD"/>
    <w:rsid w:val="12D84332"/>
    <w:rsid w:val="13A3232F"/>
    <w:rsid w:val="13B16CE7"/>
    <w:rsid w:val="13FA068E"/>
    <w:rsid w:val="14587163"/>
    <w:rsid w:val="14CD18FF"/>
    <w:rsid w:val="14CD4474"/>
    <w:rsid w:val="15233C15"/>
    <w:rsid w:val="152A7A45"/>
    <w:rsid w:val="15316332"/>
    <w:rsid w:val="154020D1"/>
    <w:rsid w:val="15495848"/>
    <w:rsid w:val="154A2F50"/>
    <w:rsid w:val="15A703A2"/>
    <w:rsid w:val="15C70A44"/>
    <w:rsid w:val="15CC605B"/>
    <w:rsid w:val="163559AE"/>
    <w:rsid w:val="16571DC8"/>
    <w:rsid w:val="1678175E"/>
    <w:rsid w:val="168319D3"/>
    <w:rsid w:val="16BF796D"/>
    <w:rsid w:val="16C64858"/>
    <w:rsid w:val="16D056D6"/>
    <w:rsid w:val="16D927DD"/>
    <w:rsid w:val="16DC22CD"/>
    <w:rsid w:val="170F5060"/>
    <w:rsid w:val="1771382D"/>
    <w:rsid w:val="178D365D"/>
    <w:rsid w:val="17AB593A"/>
    <w:rsid w:val="180A2E6A"/>
    <w:rsid w:val="18390964"/>
    <w:rsid w:val="184A3267"/>
    <w:rsid w:val="184F7FA0"/>
    <w:rsid w:val="186414DF"/>
    <w:rsid w:val="18652CE4"/>
    <w:rsid w:val="186D0013"/>
    <w:rsid w:val="1872043E"/>
    <w:rsid w:val="18722EE9"/>
    <w:rsid w:val="188940B8"/>
    <w:rsid w:val="18AE7C99"/>
    <w:rsid w:val="18FA4C8D"/>
    <w:rsid w:val="199D21E8"/>
    <w:rsid w:val="19AC41D9"/>
    <w:rsid w:val="19BD63E6"/>
    <w:rsid w:val="19EC6C78"/>
    <w:rsid w:val="19FC1ACA"/>
    <w:rsid w:val="1A020496"/>
    <w:rsid w:val="1A141D7E"/>
    <w:rsid w:val="1A1A3838"/>
    <w:rsid w:val="1A204BC7"/>
    <w:rsid w:val="1A3146DE"/>
    <w:rsid w:val="1A4C59BC"/>
    <w:rsid w:val="1A5B5BFF"/>
    <w:rsid w:val="1AAA20FA"/>
    <w:rsid w:val="1AF35E37"/>
    <w:rsid w:val="1B291859"/>
    <w:rsid w:val="1B395F40"/>
    <w:rsid w:val="1B4136C4"/>
    <w:rsid w:val="1B430D6D"/>
    <w:rsid w:val="1B6E5FED"/>
    <w:rsid w:val="1B8A22F8"/>
    <w:rsid w:val="1BB43819"/>
    <w:rsid w:val="1BCD6688"/>
    <w:rsid w:val="1BD3680A"/>
    <w:rsid w:val="1BF17E85"/>
    <w:rsid w:val="1C08121F"/>
    <w:rsid w:val="1C112A19"/>
    <w:rsid w:val="1C8E5DA9"/>
    <w:rsid w:val="1C901B90"/>
    <w:rsid w:val="1CB25895"/>
    <w:rsid w:val="1CF865A8"/>
    <w:rsid w:val="1D5C5F16"/>
    <w:rsid w:val="1D7233E6"/>
    <w:rsid w:val="1D9B4C90"/>
    <w:rsid w:val="1DA33D00"/>
    <w:rsid w:val="1DD8649E"/>
    <w:rsid w:val="1E092E52"/>
    <w:rsid w:val="1E195BB5"/>
    <w:rsid w:val="1E4A2212"/>
    <w:rsid w:val="1E984D2C"/>
    <w:rsid w:val="1ECA05A8"/>
    <w:rsid w:val="1EE81578"/>
    <w:rsid w:val="1EF32FC4"/>
    <w:rsid w:val="1EFF35C6"/>
    <w:rsid w:val="1F1D3483"/>
    <w:rsid w:val="1F1F7AE3"/>
    <w:rsid w:val="1F3A2287"/>
    <w:rsid w:val="1F4E7AE0"/>
    <w:rsid w:val="1F533349"/>
    <w:rsid w:val="1F5F6F3D"/>
    <w:rsid w:val="1F8967E7"/>
    <w:rsid w:val="1FB23FC7"/>
    <w:rsid w:val="1FFB58CE"/>
    <w:rsid w:val="200E31B0"/>
    <w:rsid w:val="202C2DAC"/>
    <w:rsid w:val="209E0AFE"/>
    <w:rsid w:val="209F6845"/>
    <w:rsid w:val="20B1404B"/>
    <w:rsid w:val="20B61DE1"/>
    <w:rsid w:val="20C03F33"/>
    <w:rsid w:val="20C0517F"/>
    <w:rsid w:val="213C0BFC"/>
    <w:rsid w:val="21504A5C"/>
    <w:rsid w:val="21856D68"/>
    <w:rsid w:val="21A63C04"/>
    <w:rsid w:val="21B300CF"/>
    <w:rsid w:val="22CC043A"/>
    <w:rsid w:val="22E51D82"/>
    <w:rsid w:val="2386021A"/>
    <w:rsid w:val="239301B8"/>
    <w:rsid w:val="23C710C3"/>
    <w:rsid w:val="2454722D"/>
    <w:rsid w:val="245D6535"/>
    <w:rsid w:val="24771887"/>
    <w:rsid w:val="24B44889"/>
    <w:rsid w:val="24C50845"/>
    <w:rsid w:val="254C061E"/>
    <w:rsid w:val="25F74FDE"/>
    <w:rsid w:val="26190E48"/>
    <w:rsid w:val="2685028B"/>
    <w:rsid w:val="26E055AF"/>
    <w:rsid w:val="272F01F7"/>
    <w:rsid w:val="27712FBE"/>
    <w:rsid w:val="27871DE1"/>
    <w:rsid w:val="27A02EA3"/>
    <w:rsid w:val="27A44741"/>
    <w:rsid w:val="281D1FD8"/>
    <w:rsid w:val="28384FB7"/>
    <w:rsid w:val="28926C90"/>
    <w:rsid w:val="28A644E9"/>
    <w:rsid w:val="28A8200F"/>
    <w:rsid w:val="28BC6745"/>
    <w:rsid w:val="28D9041B"/>
    <w:rsid w:val="292C5C17"/>
    <w:rsid w:val="29313003"/>
    <w:rsid w:val="293E0BC6"/>
    <w:rsid w:val="294361DC"/>
    <w:rsid w:val="2957079E"/>
    <w:rsid w:val="29620A37"/>
    <w:rsid w:val="29752839"/>
    <w:rsid w:val="2996630C"/>
    <w:rsid w:val="29BD7D3C"/>
    <w:rsid w:val="2A0F3103"/>
    <w:rsid w:val="2A24364B"/>
    <w:rsid w:val="2A5204DC"/>
    <w:rsid w:val="2A8A2314"/>
    <w:rsid w:val="2AA176EB"/>
    <w:rsid w:val="2AA75DDE"/>
    <w:rsid w:val="2ADD22EB"/>
    <w:rsid w:val="2B141BDE"/>
    <w:rsid w:val="2B514BE0"/>
    <w:rsid w:val="2B7361A2"/>
    <w:rsid w:val="2B8E1990"/>
    <w:rsid w:val="2BA95E0A"/>
    <w:rsid w:val="2BC35E3C"/>
    <w:rsid w:val="2C247E99"/>
    <w:rsid w:val="2C532A9E"/>
    <w:rsid w:val="2C762C45"/>
    <w:rsid w:val="2CFA4E04"/>
    <w:rsid w:val="2CFC71ED"/>
    <w:rsid w:val="2D234FAA"/>
    <w:rsid w:val="2D300825"/>
    <w:rsid w:val="2D4E4A4B"/>
    <w:rsid w:val="2D513B5D"/>
    <w:rsid w:val="2DA82AB1"/>
    <w:rsid w:val="2E7035CF"/>
    <w:rsid w:val="2EB060C2"/>
    <w:rsid w:val="2EBE01AF"/>
    <w:rsid w:val="2ECB4CA9"/>
    <w:rsid w:val="2ECF39F6"/>
    <w:rsid w:val="2F0B6B05"/>
    <w:rsid w:val="2FAA2B11"/>
    <w:rsid w:val="2FAB0884"/>
    <w:rsid w:val="2FCA31B3"/>
    <w:rsid w:val="2FD923D7"/>
    <w:rsid w:val="30196811"/>
    <w:rsid w:val="301F409E"/>
    <w:rsid w:val="302502D1"/>
    <w:rsid w:val="302A3C52"/>
    <w:rsid w:val="303074BA"/>
    <w:rsid w:val="303F48D8"/>
    <w:rsid w:val="30746F78"/>
    <w:rsid w:val="308E3794"/>
    <w:rsid w:val="30C5246F"/>
    <w:rsid w:val="311C359A"/>
    <w:rsid w:val="311D3DF9"/>
    <w:rsid w:val="31295CB7"/>
    <w:rsid w:val="31341609"/>
    <w:rsid w:val="31526717"/>
    <w:rsid w:val="319677F1"/>
    <w:rsid w:val="31A32590"/>
    <w:rsid w:val="31A57D49"/>
    <w:rsid w:val="31CB6D6E"/>
    <w:rsid w:val="31D65E3F"/>
    <w:rsid w:val="31DE4CF4"/>
    <w:rsid w:val="31F521F9"/>
    <w:rsid w:val="320A3D3B"/>
    <w:rsid w:val="323668DE"/>
    <w:rsid w:val="32786EF6"/>
    <w:rsid w:val="327D275F"/>
    <w:rsid w:val="32CE0C37"/>
    <w:rsid w:val="32EB34D1"/>
    <w:rsid w:val="332B3F69"/>
    <w:rsid w:val="336B6A5B"/>
    <w:rsid w:val="337A0A4C"/>
    <w:rsid w:val="33802506"/>
    <w:rsid w:val="33B12355"/>
    <w:rsid w:val="34652F06"/>
    <w:rsid w:val="347F6931"/>
    <w:rsid w:val="34825E0A"/>
    <w:rsid w:val="34C74165"/>
    <w:rsid w:val="34EC72AD"/>
    <w:rsid w:val="35317B29"/>
    <w:rsid w:val="35335357"/>
    <w:rsid w:val="353D7F83"/>
    <w:rsid w:val="357D4824"/>
    <w:rsid w:val="35A41DB0"/>
    <w:rsid w:val="35AD60AE"/>
    <w:rsid w:val="35D501BC"/>
    <w:rsid w:val="35E77612"/>
    <w:rsid w:val="36742A81"/>
    <w:rsid w:val="36C941C4"/>
    <w:rsid w:val="37275C3F"/>
    <w:rsid w:val="37515F68"/>
    <w:rsid w:val="375D2B5F"/>
    <w:rsid w:val="379540A7"/>
    <w:rsid w:val="37B22EAA"/>
    <w:rsid w:val="37FE39FA"/>
    <w:rsid w:val="37FF59C4"/>
    <w:rsid w:val="38415FDC"/>
    <w:rsid w:val="3851595A"/>
    <w:rsid w:val="388439CA"/>
    <w:rsid w:val="388760E5"/>
    <w:rsid w:val="38A722E3"/>
    <w:rsid w:val="38C509BB"/>
    <w:rsid w:val="38F8669B"/>
    <w:rsid w:val="392233F3"/>
    <w:rsid w:val="39382F3B"/>
    <w:rsid w:val="394418E0"/>
    <w:rsid w:val="39551D3F"/>
    <w:rsid w:val="3958538C"/>
    <w:rsid w:val="395F489A"/>
    <w:rsid w:val="39A0037A"/>
    <w:rsid w:val="3A022510"/>
    <w:rsid w:val="3A0D43C8"/>
    <w:rsid w:val="3A12378C"/>
    <w:rsid w:val="3A314864"/>
    <w:rsid w:val="3A322081"/>
    <w:rsid w:val="3A3F3C38"/>
    <w:rsid w:val="3A4970DD"/>
    <w:rsid w:val="3A5E2E76"/>
    <w:rsid w:val="3A654204"/>
    <w:rsid w:val="3A86542E"/>
    <w:rsid w:val="3A865F28"/>
    <w:rsid w:val="3B0F5F1E"/>
    <w:rsid w:val="3B530501"/>
    <w:rsid w:val="3B641C3B"/>
    <w:rsid w:val="3B8C3A12"/>
    <w:rsid w:val="3BDC04F6"/>
    <w:rsid w:val="3C3A6FCB"/>
    <w:rsid w:val="3C3C2D43"/>
    <w:rsid w:val="3C4147FD"/>
    <w:rsid w:val="3C5D7CBE"/>
    <w:rsid w:val="3C6A3D54"/>
    <w:rsid w:val="3CD012D5"/>
    <w:rsid w:val="3CDE3DFA"/>
    <w:rsid w:val="3CED228F"/>
    <w:rsid w:val="3D8D4B20"/>
    <w:rsid w:val="3D9D1F07"/>
    <w:rsid w:val="3DC65A10"/>
    <w:rsid w:val="3DD40F99"/>
    <w:rsid w:val="3DF17B5D"/>
    <w:rsid w:val="3E0B26DF"/>
    <w:rsid w:val="3E3143FD"/>
    <w:rsid w:val="3E330175"/>
    <w:rsid w:val="3E8F29C3"/>
    <w:rsid w:val="3EBB32F2"/>
    <w:rsid w:val="3ED063C2"/>
    <w:rsid w:val="3F0D224A"/>
    <w:rsid w:val="3F3E3276"/>
    <w:rsid w:val="3F46244C"/>
    <w:rsid w:val="3F84512C"/>
    <w:rsid w:val="3FAA26B9"/>
    <w:rsid w:val="3FAE03FB"/>
    <w:rsid w:val="3FF95DFA"/>
    <w:rsid w:val="40210BCD"/>
    <w:rsid w:val="40387CC5"/>
    <w:rsid w:val="40624D42"/>
    <w:rsid w:val="40752CC7"/>
    <w:rsid w:val="4081341A"/>
    <w:rsid w:val="40BB2DD0"/>
    <w:rsid w:val="40D043A1"/>
    <w:rsid w:val="41046C8C"/>
    <w:rsid w:val="4134048C"/>
    <w:rsid w:val="41390524"/>
    <w:rsid w:val="416E350A"/>
    <w:rsid w:val="417B60BB"/>
    <w:rsid w:val="41AA69A0"/>
    <w:rsid w:val="41C0110D"/>
    <w:rsid w:val="41C061C4"/>
    <w:rsid w:val="41FB1123"/>
    <w:rsid w:val="420B38E3"/>
    <w:rsid w:val="423579D1"/>
    <w:rsid w:val="42864D18"/>
    <w:rsid w:val="428F17B9"/>
    <w:rsid w:val="431C38CE"/>
    <w:rsid w:val="433230F1"/>
    <w:rsid w:val="4359242C"/>
    <w:rsid w:val="4369119C"/>
    <w:rsid w:val="436E72E2"/>
    <w:rsid w:val="43A1468D"/>
    <w:rsid w:val="43CC52F4"/>
    <w:rsid w:val="44250560"/>
    <w:rsid w:val="44645086"/>
    <w:rsid w:val="448071C3"/>
    <w:rsid w:val="44BB6D19"/>
    <w:rsid w:val="44D02BC2"/>
    <w:rsid w:val="44F159DC"/>
    <w:rsid w:val="453F38A4"/>
    <w:rsid w:val="45695003"/>
    <w:rsid w:val="45CF4C28"/>
    <w:rsid w:val="45DD5472"/>
    <w:rsid w:val="4604088B"/>
    <w:rsid w:val="46140783"/>
    <w:rsid w:val="461C402C"/>
    <w:rsid w:val="46357180"/>
    <w:rsid w:val="468B10D8"/>
    <w:rsid w:val="47767A51"/>
    <w:rsid w:val="47BD3387"/>
    <w:rsid w:val="47C02A7A"/>
    <w:rsid w:val="47DC187E"/>
    <w:rsid w:val="47E30FB0"/>
    <w:rsid w:val="480212E4"/>
    <w:rsid w:val="481E59F2"/>
    <w:rsid w:val="48272AF9"/>
    <w:rsid w:val="48345216"/>
    <w:rsid w:val="48790E7B"/>
    <w:rsid w:val="48B620CF"/>
    <w:rsid w:val="48C93BB0"/>
    <w:rsid w:val="48E357A6"/>
    <w:rsid w:val="4927064F"/>
    <w:rsid w:val="49396F88"/>
    <w:rsid w:val="495D254A"/>
    <w:rsid w:val="495F4F2B"/>
    <w:rsid w:val="497004D0"/>
    <w:rsid w:val="499938CA"/>
    <w:rsid w:val="49E669E4"/>
    <w:rsid w:val="4A080708"/>
    <w:rsid w:val="4A341372"/>
    <w:rsid w:val="4A750A43"/>
    <w:rsid w:val="4ACA42E7"/>
    <w:rsid w:val="4B1F21AD"/>
    <w:rsid w:val="4B47219D"/>
    <w:rsid w:val="4BB24AA9"/>
    <w:rsid w:val="4BB87F0C"/>
    <w:rsid w:val="4BF1634C"/>
    <w:rsid w:val="4C9D782D"/>
    <w:rsid w:val="4CA54934"/>
    <w:rsid w:val="4CC748AA"/>
    <w:rsid w:val="4CF913A7"/>
    <w:rsid w:val="4D124428"/>
    <w:rsid w:val="4D7A3CD3"/>
    <w:rsid w:val="4E035DB6"/>
    <w:rsid w:val="4E0B7047"/>
    <w:rsid w:val="4E1E1D58"/>
    <w:rsid w:val="4E3A79A5"/>
    <w:rsid w:val="4E573A0C"/>
    <w:rsid w:val="4E773DE0"/>
    <w:rsid w:val="4EA330F5"/>
    <w:rsid w:val="4F021BCA"/>
    <w:rsid w:val="4F400944"/>
    <w:rsid w:val="4F71072F"/>
    <w:rsid w:val="4FD53792"/>
    <w:rsid w:val="5032028D"/>
    <w:rsid w:val="50363EAE"/>
    <w:rsid w:val="50485D02"/>
    <w:rsid w:val="504F7091"/>
    <w:rsid w:val="50650662"/>
    <w:rsid w:val="50707007"/>
    <w:rsid w:val="50B60EBE"/>
    <w:rsid w:val="50D27C99"/>
    <w:rsid w:val="50E579F5"/>
    <w:rsid w:val="50FE4613"/>
    <w:rsid w:val="516A7EFA"/>
    <w:rsid w:val="51DD247A"/>
    <w:rsid w:val="51E952C3"/>
    <w:rsid w:val="525C4081"/>
    <w:rsid w:val="526D26F8"/>
    <w:rsid w:val="527A416D"/>
    <w:rsid w:val="528F19C6"/>
    <w:rsid w:val="52A15B9E"/>
    <w:rsid w:val="53035F10"/>
    <w:rsid w:val="53096FE2"/>
    <w:rsid w:val="53C725AE"/>
    <w:rsid w:val="53D31D87"/>
    <w:rsid w:val="53F65A75"/>
    <w:rsid w:val="54481CD5"/>
    <w:rsid w:val="54546F86"/>
    <w:rsid w:val="54B03E76"/>
    <w:rsid w:val="54E26F5D"/>
    <w:rsid w:val="5535433B"/>
    <w:rsid w:val="55776623"/>
    <w:rsid w:val="55860053"/>
    <w:rsid w:val="55B7304E"/>
    <w:rsid w:val="55EE4C56"/>
    <w:rsid w:val="55F900E4"/>
    <w:rsid w:val="56206DD9"/>
    <w:rsid w:val="56881427"/>
    <w:rsid w:val="56BB64C5"/>
    <w:rsid w:val="56DD0123"/>
    <w:rsid w:val="57503A0E"/>
    <w:rsid w:val="575E5E0B"/>
    <w:rsid w:val="57633E26"/>
    <w:rsid w:val="57AC4DC9"/>
    <w:rsid w:val="57B813CA"/>
    <w:rsid w:val="57D52571"/>
    <w:rsid w:val="58044C05"/>
    <w:rsid w:val="58462EB8"/>
    <w:rsid w:val="58676F42"/>
    <w:rsid w:val="5876482D"/>
    <w:rsid w:val="58823D7B"/>
    <w:rsid w:val="58845D45"/>
    <w:rsid w:val="588D4BFA"/>
    <w:rsid w:val="58F9403E"/>
    <w:rsid w:val="58FA1B64"/>
    <w:rsid w:val="594F1EAF"/>
    <w:rsid w:val="595E4DC3"/>
    <w:rsid w:val="599B3347"/>
    <w:rsid w:val="59B85EB7"/>
    <w:rsid w:val="5A3D43FE"/>
    <w:rsid w:val="5A4C4641"/>
    <w:rsid w:val="5A517EA9"/>
    <w:rsid w:val="5A671258"/>
    <w:rsid w:val="5A89377C"/>
    <w:rsid w:val="5AB53F94"/>
    <w:rsid w:val="5B01367D"/>
    <w:rsid w:val="5B3A093D"/>
    <w:rsid w:val="5B4068FC"/>
    <w:rsid w:val="5BA30291"/>
    <w:rsid w:val="5BE60FA9"/>
    <w:rsid w:val="5BF149F2"/>
    <w:rsid w:val="5C225659"/>
    <w:rsid w:val="5C5B298D"/>
    <w:rsid w:val="5C702869"/>
    <w:rsid w:val="5D094A6B"/>
    <w:rsid w:val="5D2940F3"/>
    <w:rsid w:val="5DA40A86"/>
    <w:rsid w:val="5DA638C6"/>
    <w:rsid w:val="5DE60909"/>
    <w:rsid w:val="5E0A53B4"/>
    <w:rsid w:val="5E1436C8"/>
    <w:rsid w:val="5E1B68CD"/>
    <w:rsid w:val="5E4F4CE6"/>
    <w:rsid w:val="5E5F0D32"/>
    <w:rsid w:val="5E993BCD"/>
    <w:rsid w:val="5EFD0600"/>
    <w:rsid w:val="5F3D2B4D"/>
    <w:rsid w:val="5F641212"/>
    <w:rsid w:val="5F693D64"/>
    <w:rsid w:val="5F6B37BB"/>
    <w:rsid w:val="5F7408C2"/>
    <w:rsid w:val="5F887EC9"/>
    <w:rsid w:val="5FA3462E"/>
    <w:rsid w:val="5FC77254"/>
    <w:rsid w:val="602B6AA7"/>
    <w:rsid w:val="6084265C"/>
    <w:rsid w:val="60B371C8"/>
    <w:rsid w:val="60C90799"/>
    <w:rsid w:val="60D81D03"/>
    <w:rsid w:val="60F4333C"/>
    <w:rsid w:val="61047A23"/>
    <w:rsid w:val="612C6D8A"/>
    <w:rsid w:val="618B2D0B"/>
    <w:rsid w:val="619269BD"/>
    <w:rsid w:val="61A134C4"/>
    <w:rsid w:val="61DE64C6"/>
    <w:rsid w:val="62466CCE"/>
    <w:rsid w:val="626A673E"/>
    <w:rsid w:val="62724E61"/>
    <w:rsid w:val="627B1F67"/>
    <w:rsid w:val="629341F9"/>
    <w:rsid w:val="62A82630"/>
    <w:rsid w:val="62FA10DE"/>
    <w:rsid w:val="630A2513"/>
    <w:rsid w:val="632C57A1"/>
    <w:rsid w:val="63414917"/>
    <w:rsid w:val="639935A7"/>
    <w:rsid w:val="63CC46EB"/>
    <w:rsid w:val="63D25BB7"/>
    <w:rsid w:val="6438283D"/>
    <w:rsid w:val="643F0D73"/>
    <w:rsid w:val="647C1FC7"/>
    <w:rsid w:val="64CC0858"/>
    <w:rsid w:val="64EE1A97"/>
    <w:rsid w:val="65000502"/>
    <w:rsid w:val="65240694"/>
    <w:rsid w:val="65313EBE"/>
    <w:rsid w:val="653F54CE"/>
    <w:rsid w:val="65510D5D"/>
    <w:rsid w:val="655A4225"/>
    <w:rsid w:val="65A43583"/>
    <w:rsid w:val="65C21C5B"/>
    <w:rsid w:val="65C9123C"/>
    <w:rsid w:val="65DA51F7"/>
    <w:rsid w:val="65DF5E84"/>
    <w:rsid w:val="66187ACD"/>
    <w:rsid w:val="663409C9"/>
    <w:rsid w:val="66C814F3"/>
    <w:rsid w:val="66E856D7"/>
    <w:rsid w:val="672F50CE"/>
    <w:rsid w:val="67380427"/>
    <w:rsid w:val="67753429"/>
    <w:rsid w:val="67B3300F"/>
    <w:rsid w:val="67CB5ED4"/>
    <w:rsid w:val="680447AD"/>
    <w:rsid w:val="68112A26"/>
    <w:rsid w:val="68182006"/>
    <w:rsid w:val="689F0032"/>
    <w:rsid w:val="68BB7061"/>
    <w:rsid w:val="693E5A9D"/>
    <w:rsid w:val="69757DD5"/>
    <w:rsid w:val="69EB1780"/>
    <w:rsid w:val="69FF6FDA"/>
    <w:rsid w:val="6A294057"/>
    <w:rsid w:val="6A633A0D"/>
    <w:rsid w:val="6A6E5F0E"/>
    <w:rsid w:val="6A9C0CCD"/>
    <w:rsid w:val="6AC437B8"/>
    <w:rsid w:val="6B3B04E6"/>
    <w:rsid w:val="6B48013F"/>
    <w:rsid w:val="6B4820C3"/>
    <w:rsid w:val="6BAF2C82"/>
    <w:rsid w:val="6C663340"/>
    <w:rsid w:val="6C7125D4"/>
    <w:rsid w:val="6C757A27"/>
    <w:rsid w:val="6D341690"/>
    <w:rsid w:val="6D4A082B"/>
    <w:rsid w:val="6D4E70AC"/>
    <w:rsid w:val="6DB66549"/>
    <w:rsid w:val="6E602011"/>
    <w:rsid w:val="6E69536A"/>
    <w:rsid w:val="6E963C85"/>
    <w:rsid w:val="6E9C573F"/>
    <w:rsid w:val="6EA939B8"/>
    <w:rsid w:val="6F444811"/>
    <w:rsid w:val="6F4D4C8B"/>
    <w:rsid w:val="6F8D341C"/>
    <w:rsid w:val="6FAC7C04"/>
    <w:rsid w:val="6FF944CB"/>
    <w:rsid w:val="701B08E6"/>
    <w:rsid w:val="703F2826"/>
    <w:rsid w:val="70503F5B"/>
    <w:rsid w:val="705A140E"/>
    <w:rsid w:val="708F2B0E"/>
    <w:rsid w:val="70B401B5"/>
    <w:rsid w:val="70D71E43"/>
    <w:rsid w:val="70DB7824"/>
    <w:rsid w:val="71052712"/>
    <w:rsid w:val="710B2708"/>
    <w:rsid w:val="71476A64"/>
    <w:rsid w:val="717D79A1"/>
    <w:rsid w:val="71DB20DB"/>
    <w:rsid w:val="72211C29"/>
    <w:rsid w:val="723B0DCB"/>
    <w:rsid w:val="72477770"/>
    <w:rsid w:val="72604CD6"/>
    <w:rsid w:val="726245AA"/>
    <w:rsid w:val="72863DB1"/>
    <w:rsid w:val="72AE420B"/>
    <w:rsid w:val="72DD6326"/>
    <w:rsid w:val="72FB055A"/>
    <w:rsid w:val="734F0FD2"/>
    <w:rsid w:val="73816CB2"/>
    <w:rsid w:val="73840550"/>
    <w:rsid w:val="739B53E3"/>
    <w:rsid w:val="73AA6208"/>
    <w:rsid w:val="73BB0416"/>
    <w:rsid w:val="73CF2113"/>
    <w:rsid w:val="73FA729A"/>
    <w:rsid w:val="741713C4"/>
    <w:rsid w:val="74510E07"/>
    <w:rsid w:val="74776324"/>
    <w:rsid w:val="747C78F7"/>
    <w:rsid w:val="74E13391"/>
    <w:rsid w:val="75043FE6"/>
    <w:rsid w:val="750710F3"/>
    <w:rsid w:val="754A398B"/>
    <w:rsid w:val="754C31BA"/>
    <w:rsid w:val="75596138"/>
    <w:rsid w:val="757B298C"/>
    <w:rsid w:val="75AD3D8E"/>
    <w:rsid w:val="75D25EEA"/>
    <w:rsid w:val="75EC24FF"/>
    <w:rsid w:val="75F0456F"/>
    <w:rsid w:val="75FE45EA"/>
    <w:rsid w:val="76366479"/>
    <w:rsid w:val="76816FC9"/>
    <w:rsid w:val="768A0573"/>
    <w:rsid w:val="769F729E"/>
    <w:rsid w:val="76B455F0"/>
    <w:rsid w:val="76E96007"/>
    <w:rsid w:val="77091498"/>
    <w:rsid w:val="77753BCB"/>
    <w:rsid w:val="778576B9"/>
    <w:rsid w:val="77A318EC"/>
    <w:rsid w:val="77B92EF8"/>
    <w:rsid w:val="77D71596"/>
    <w:rsid w:val="77E45A61"/>
    <w:rsid w:val="780B56E4"/>
    <w:rsid w:val="784C4030"/>
    <w:rsid w:val="786646C8"/>
    <w:rsid w:val="78ED78AC"/>
    <w:rsid w:val="78F113E3"/>
    <w:rsid w:val="791E6F19"/>
    <w:rsid w:val="797634F8"/>
    <w:rsid w:val="79DE5EA0"/>
    <w:rsid w:val="79E104AA"/>
    <w:rsid w:val="7A3251AA"/>
    <w:rsid w:val="7A334D21"/>
    <w:rsid w:val="7A3C1B84"/>
    <w:rsid w:val="7A835A05"/>
    <w:rsid w:val="7A995229"/>
    <w:rsid w:val="7AB61937"/>
    <w:rsid w:val="7AE55D78"/>
    <w:rsid w:val="7AF06208"/>
    <w:rsid w:val="7B4038F6"/>
    <w:rsid w:val="7B8F72B3"/>
    <w:rsid w:val="7BC201C5"/>
    <w:rsid w:val="7BF5023D"/>
    <w:rsid w:val="7C1475DC"/>
    <w:rsid w:val="7C264DF2"/>
    <w:rsid w:val="7C3438D4"/>
    <w:rsid w:val="7C857813"/>
    <w:rsid w:val="7CAD4FBB"/>
    <w:rsid w:val="7CBC0D5A"/>
    <w:rsid w:val="7CC16E25"/>
    <w:rsid w:val="7CD51E1C"/>
    <w:rsid w:val="7DD65E4C"/>
    <w:rsid w:val="7DDB16B4"/>
    <w:rsid w:val="7E346720"/>
    <w:rsid w:val="7EB42631"/>
    <w:rsid w:val="7EBE43C7"/>
    <w:rsid w:val="7EEA5542"/>
    <w:rsid w:val="7F0B7AFA"/>
    <w:rsid w:val="7F190498"/>
    <w:rsid w:val="7F4A58FD"/>
    <w:rsid w:val="7F4F291E"/>
    <w:rsid w:val="7FAE0E2E"/>
    <w:rsid w:val="7FB32836"/>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qFormat/>
    <w:uiPriority w:val="0"/>
    <w:rPr>
      <w:rFonts w:hint="eastAsia" w:ascii="Calibri" w:hAnsi="Calibri" w:eastAsia="宋体" w:cs="宋体"/>
      <w:lang w:val="en-US"/>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5604</Words>
  <Characters>5791</Characters>
  <Paragraphs>787</Paragraphs>
  <TotalTime>36</TotalTime>
  <ScaleCrop>false</ScaleCrop>
  <LinksUpToDate>false</LinksUpToDate>
  <CharactersWithSpaces>5795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2025-01-06T02:31:00Z</dcterms:created>
  <dc:creator>Administrator</dc:creator>
  <cp:lastModifiedBy>Administrator</cp:lastModifiedBy>
  <dcterms:modified xsi:type="dcterms:W3CDTF">2025-05-29T03:13:18Z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eyJoZGlkIjoiOWZjM2U5NjJhMGQ2YmUzNjZmMTJmMjc2ZjgyZTQxMzIifQ==</vt:lpwstr>
  </property>
  <property fmtid="{D5CDD505-2E9C-101B-9397-08002B2CF9AE}" pid="4" name="ICV">
    <vt:lpwstr>38BB9C6030BC4A28BA9EC49397EB1F2C_13</vt:lpwstr>
  </property>
</Properties>
</file>